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2232AF" w:rsidP="002232AF" w:rsidRDefault="00385B3B" w14:paraId="74C4E93B" w14:textId="725278C5">
      <w:pPr>
        <w:spacing w:after="0"/>
        <w:jc w:val="center"/>
        <w:rPr>
          <w:rStyle w:val="fontstyle01"/>
          <w:rFonts w:ascii="Arial" w:hAnsi="Arial" w:cs="Arial"/>
          <w:u w:val="single"/>
        </w:rPr>
      </w:pPr>
      <w:r>
        <w:rPr>
          <w:noProof/>
        </w:rPr>
        <mc:AlternateContent>
          <mc:Choice Requires="wps">
            <w:drawing>
              <wp:anchor distT="0" distB="0" distL="114300" distR="114300" simplePos="0" relativeHeight="251662336" behindDoc="0" locked="0" layoutInCell="1" allowOverlap="1" wp14:anchorId="643BC996" wp14:editId="65A57874">
                <wp:simplePos x="0" y="0"/>
                <wp:positionH relativeFrom="column">
                  <wp:posOffset>503555</wp:posOffset>
                </wp:positionH>
                <wp:positionV relativeFrom="paragraph">
                  <wp:posOffset>-228600</wp:posOffset>
                </wp:positionV>
                <wp:extent cx="5448300" cy="62611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626110"/>
                        </a:xfrm>
                        <a:prstGeom prst="rect">
                          <a:avLst/>
                        </a:prstGeom>
                        <a:solidFill>
                          <a:srgbClr val="FFFFFF"/>
                        </a:solidFill>
                        <a:ln w="9525">
                          <a:noFill/>
                          <a:miter lim="800000"/>
                          <a:headEnd/>
                          <a:tailEnd/>
                        </a:ln>
                      </wps:spPr>
                      <wps:txbx>
                        <w:txbxContent>
                          <w:p w:rsidRPr="00431646" w:rsidR="00255663" w:rsidP="00385B3B" w:rsidRDefault="00255663" w14:paraId="7CB95A00" w14:textId="77777777">
                            <w:pPr>
                              <w:spacing w:after="0"/>
                              <w:jc w:val="center"/>
                              <w:rPr>
                                <w:rFonts w:ascii="Times New Roman" w:hAnsi="Times New Roman"/>
                                <w:b/>
                                <w:color w:val="1F497D"/>
                                <w:sz w:val="44"/>
                                <w:szCs w:val="44"/>
                              </w:rPr>
                            </w:pPr>
                            <w:r w:rsidRPr="00431646">
                              <w:rPr>
                                <w:rFonts w:ascii="Times New Roman" w:hAnsi="Times New Roman"/>
                                <w:b/>
                                <w:color w:val="1F497D"/>
                                <w:sz w:val="44"/>
                                <w:szCs w:val="44"/>
                              </w:rPr>
                              <w:t>STATE OF CONNECTICUT</w:t>
                            </w:r>
                          </w:p>
                          <w:p w:rsidRPr="00431646" w:rsidR="00255663" w:rsidP="00385B3B" w:rsidRDefault="00255663" w14:paraId="6DBEB918" w14:textId="77777777">
                            <w:pPr>
                              <w:jc w:val="center"/>
                              <w:rPr>
                                <w:rFonts w:ascii="Bodoni MT" w:hAnsi="Bodoni MT"/>
                                <w:color w:val="1F497D"/>
                                <w:sz w:val="28"/>
                                <w:szCs w:val="28"/>
                              </w:rPr>
                            </w:pPr>
                            <w:r w:rsidRPr="00431646">
                              <w:rPr>
                                <w:rFonts w:ascii="Bodoni MT" w:hAnsi="Bodoni MT"/>
                                <w:color w:val="1F497D"/>
                                <w:sz w:val="28"/>
                                <w:szCs w:val="28"/>
                              </w:rPr>
                              <w:t>PUBLIC UTILITIES REGULATORY AUTHORITY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643BC996">
                <v:stroke joinstyle="miter"/>
                <v:path gradientshapeok="t" o:connecttype="rect"/>
              </v:shapetype>
              <v:shape id="Text Box 2" style="position:absolute;left:0;text-align:left;margin-left:39.65pt;margin-top:-18pt;width:429pt;height:49.3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">
                <v:textbox style="mso-fit-shape-to-text:t">
                  <w:txbxContent>
                    <w:p w:rsidRPr="00431646" w:rsidR="00255663" w:rsidP="00385B3B" w:rsidRDefault="00255663" w14:paraId="7CB95A00" w14:textId="77777777">
                      <w:pPr>
                        <w:spacing w:after="0"/>
                        <w:jc w:val="center"/>
                        <w:rPr>
                          <w:rFonts w:ascii="Times New Roman" w:hAnsi="Times New Roman"/>
                          <w:b/>
                          <w:color w:val="1F497D"/>
                          <w:sz w:val="44"/>
                          <w:szCs w:val="44"/>
                        </w:rPr>
                      </w:pPr>
                      <w:r w:rsidRPr="00431646">
                        <w:rPr>
                          <w:rFonts w:ascii="Times New Roman" w:hAnsi="Times New Roman"/>
                          <w:b/>
                          <w:color w:val="1F497D"/>
                          <w:sz w:val="44"/>
                          <w:szCs w:val="44"/>
                        </w:rPr>
                        <w:t>STATE OF CONNECTICUT</w:t>
                      </w:r>
                    </w:p>
                    <w:p w:rsidRPr="00431646" w:rsidR="00255663" w:rsidP="00385B3B" w:rsidRDefault="00255663" w14:paraId="6DBEB918" w14:textId="77777777">
                      <w:pPr>
                        <w:jc w:val="center"/>
                        <w:rPr>
                          <w:rFonts w:ascii="Bodoni MT" w:hAnsi="Bodoni MT"/>
                          <w:color w:val="1F497D"/>
                          <w:sz w:val="28"/>
                          <w:szCs w:val="28"/>
                        </w:rPr>
                      </w:pPr>
                      <w:r w:rsidRPr="00431646">
                        <w:rPr>
                          <w:rFonts w:ascii="Bodoni MT" w:hAnsi="Bodoni MT"/>
                          <w:color w:val="1F497D"/>
                          <w:sz w:val="28"/>
                          <w:szCs w:val="28"/>
                        </w:rPr>
                        <w:t>PUBLIC UTILITIES REGULATORY AUTHORITY</w:t>
                      </w:r>
                    </w:p>
                  </w:txbxContent>
                </v:textbox>
              </v:shape>
            </w:pict>
          </mc:Fallback>
        </mc:AlternateContent>
      </w:r>
      <w:r w:rsidRPr="002232AF">
        <w:rPr>
          <w:rStyle w:val="fontstyle01"/>
          <w:rFonts w:ascii="Arial" w:hAnsi="Arial" w:cs="Arial"/>
          <w:noProof/>
          <w:u w:val="single"/>
        </w:rPr>
        <w:drawing>
          <wp:anchor distT="0" distB="2667" distL="114300" distR="114300" simplePos="0" relativeHeight="251663360" behindDoc="0" locked="0" layoutInCell="1" allowOverlap="1" wp14:anchorId="06C1B955" wp14:editId="668F6F82">
            <wp:simplePos x="0" y="0"/>
            <wp:positionH relativeFrom="margin">
              <wp:posOffset>-289560</wp:posOffset>
            </wp:positionH>
            <wp:positionV relativeFrom="margin">
              <wp:posOffset>-358140</wp:posOffset>
            </wp:positionV>
            <wp:extent cx="1227455" cy="1075690"/>
            <wp:effectExtent l="0" t="0" r="0" b="0"/>
            <wp:wrapSquare wrapText="bothSides"/>
            <wp:docPr id="18" name="Picture 2" descr="ct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t seal"/>
                    <pic:cNvPicPr>
                      <a:picLocks noChangeAspect="1" noChangeArrowheads="1"/>
                    </pic:cNvPicPr>
                  </pic:nvPicPr>
                  <pic:blipFill>
                    <a:blip r:embed="rId12" cstate="print">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227455" cy="10756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232AF" w:rsidP="002232AF" w:rsidRDefault="002232AF" w14:paraId="77019D36" w14:textId="13F91C07">
      <w:pPr>
        <w:spacing w:after="0"/>
        <w:jc w:val="center"/>
        <w:rPr>
          <w:rStyle w:val="fontstyle01"/>
          <w:rFonts w:ascii="Arial" w:hAnsi="Arial" w:cs="Arial"/>
          <w:u w:val="single"/>
        </w:rPr>
      </w:pPr>
    </w:p>
    <w:p w:rsidR="002232AF" w:rsidP="002232AF" w:rsidRDefault="002232AF" w14:paraId="56B4F250" w14:textId="76C0C29F">
      <w:pPr>
        <w:spacing w:after="0"/>
        <w:jc w:val="center"/>
        <w:rPr>
          <w:rStyle w:val="fontstyle01"/>
          <w:rFonts w:ascii="Arial" w:hAnsi="Arial" w:cs="Arial"/>
          <w:u w:val="single"/>
        </w:rPr>
      </w:pPr>
    </w:p>
    <w:p w:rsidR="002232AF" w:rsidP="002232AF" w:rsidRDefault="002232AF" w14:paraId="5CE88CA5" w14:textId="77777777">
      <w:pPr>
        <w:spacing w:after="0"/>
        <w:jc w:val="center"/>
        <w:rPr>
          <w:rStyle w:val="fontstyle01"/>
          <w:rFonts w:ascii="Arial" w:hAnsi="Arial" w:cs="Arial"/>
          <w:u w:val="single"/>
        </w:rPr>
      </w:pPr>
    </w:p>
    <w:p w:rsidR="002232AF" w:rsidP="002232AF" w:rsidRDefault="002232AF" w14:paraId="1678C123" w14:textId="423FB853">
      <w:pPr>
        <w:spacing w:after="0"/>
        <w:jc w:val="center"/>
        <w:rPr>
          <w:rStyle w:val="fontstyle01"/>
          <w:rFonts w:ascii="Arial" w:hAnsi="Arial" w:cs="Arial"/>
          <w:u w:val="single"/>
        </w:rPr>
      </w:pPr>
    </w:p>
    <w:p w:rsidR="007F6D74" w:rsidP="002232AF" w:rsidRDefault="007F6D74" w14:paraId="218F1867" w14:textId="77777777">
      <w:pPr>
        <w:spacing w:after="0"/>
        <w:jc w:val="center"/>
        <w:rPr>
          <w:rStyle w:val="fontstyle01"/>
          <w:rFonts w:ascii="Arial" w:hAnsi="Arial" w:cs="Arial"/>
          <w:u w:val="single"/>
        </w:rPr>
      </w:pPr>
    </w:p>
    <w:p w:rsidRPr="00007910" w:rsidR="009A1C1D" w:rsidP="00A75E2F" w:rsidRDefault="00D4600C" w14:paraId="6173977D" w14:textId="41348255">
      <w:pPr>
        <w:spacing w:after="0"/>
        <w:jc w:val="center"/>
        <w:rPr>
          <w:rStyle w:val="fontstyle01"/>
          <w:rFonts w:ascii="Arial" w:hAnsi="Arial" w:cs="Arial"/>
          <w:u w:val="single"/>
        </w:rPr>
      </w:pPr>
      <w:r w:rsidRPr="00007910">
        <w:rPr>
          <w:rStyle w:val="fontstyle01"/>
          <w:rFonts w:ascii="Arial" w:hAnsi="Arial" w:cs="Arial"/>
          <w:u w:val="single"/>
        </w:rPr>
        <w:t>DOCKET NO. 17-12-03RE07</w:t>
      </w:r>
    </w:p>
    <w:p w:rsidRPr="00007910" w:rsidR="00D4600C" w:rsidP="00A75E2F" w:rsidRDefault="00F0374A" w14:paraId="7EB89919" w14:textId="6E055B29">
      <w:pPr>
        <w:spacing w:after="0"/>
        <w:jc w:val="center"/>
        <w:rPr>
          <w:rStyle w:val="fontstyle01"/>
          <w:rFonts w:ascii="Arial" w:hAnsi="Arial" w:cs="Arial"/>
        </w:rPr>
      </w:pPr>
      <w:r w:rsidRPr="00007910">
        <w:rPr>
          <w:rStyle w:val="fontstyle01"/>
          <w:rFonts w:ascii="Arial" w:hAnsi="Arial" w:cs="Arial"/>
        </w:rPr>
        <w:t xml:space="preserve">PURA INVESTIGATION INTO DISTRIBUTION SYSTEM PLANNING OF THE ELECTRIC DISTRIBUTION COMPANIES – </w:t>
      </w:r>
      <w:r w:rsidRPr="00007910" w:rsidR="00C37346">
        <w:rPr>
          <w:rStyle w:val="fontstyle01"/>
          <w:rFonts w:ascii="Arial" w:hAnsi="Arial" w:cs="Arial"/>
        </w:rPr>
        <w:t>NON-WIRES ALTERNATIVES</w:t>
      </w:r>
    </w:p>
    <w:p w:rsidRPr="00007910" w:rsidR="00D4600C" w:rsidP="00A75E2F" w:rsidRDefault="00D4600C" w14:paraId="5AA8CF0F" w14:textId="191C5E80">
      <w:pPr>
        <w:spacing w:after="0"/>
        <w:jc w:val="center"/>
        <w:rPr>
          <w:rStyle w:val="fontstyle01"/>
          <w:rFonts w:ascii="Arial" w:hAnsi="Arial" w:cs="Arial"/>
        </w:rPr>
      </w:pPr>
    </w:p>
    <w:p w:rsidRPr="00007910" w:rsidR="00D4600C" w:rsidP="00A75E2F" w:rsidRDefault="00D4600C" w14:paraId="18A09D5C" w14:textId="0955B602">
      <w:pPr>
        <w:spacing w:after="0"/>
        <w:ind w:left="360"/>
        <w:jc w:val="center"/>
        <w:rPr>
          <w:rStyle w:val="fontstyle01"/>
          <w:rFonts w:ascii="Arial" w:hAnsi="Arial" w:cs="Arial"/>
          <w:u w:val="single"/>
        </w:rPr>
      </w:pPr>
      <w:r w:rsidRPr="2713EC19" w:rsidR="7A4D8EB9">
        <w:rPr>
          <w:rStyle w:val="fontstyle01"/>
          <w:rFonts w:ascii="Arial" w:hAnsi="Arial" w:cs="Arial"/>
          <w:u w:val="single"/>
        </w:rPr>
        <w:t xml:space="preserve">ATTACHMENT A – </w:t>
      </w:r>
      <w:r w:rsidRPr="2713EC19" w:rsidR="00D4600C">
        <w:rPr>
          <w:rStyle w:val="fontstyle01"/>
          <w:rFonts w:ascii="Arial" w:hAnsi="Arial" w:cs="Arial"/>
          <w:u w:val="single"/>
        </w:rPr>
        <w:t xml:space="preserve">STRAW NON-WIRES </w:t>
      </w:r>
      <w:r w:rsidRPr="2713EC19" w:rsidR="00635EE8">
        <w:rPr>
          <w:rStyle w:val="fontstyle01"/>
          <w:rFonts w:ascii="Arial" w:hAnsi="Arial" w:cs="Arial"/>
          <w:u w:val="single"/>
        </w:rPr>
        <w:t xml:space="preserve">ALTERNATIVES </w:t>
      </w:r>
      <w:r w:rsidRPr="2713EC19" w:rsidR="00D4600C">
        <w:rPr>
          <w:rStyle w:val="fontstyle01"/>
          <w:rFonts w:ascii="Arial" w:hAnsi="Arial" w:cs="Arial"/>
          <w:u w:val="single"/>
        </w:rPr>
        <w:t>PROGRAM DESIGN</w:t>
      </w:r>
    </w:p>
    <w:p w:rsidR="00D45E03" w:rsidP="00B31296" w:rsidRDefault="00D45E03" w14:paraId="77D62068" w14:textId="3BC366AB">
      <w:pPr>
        <w:spacing w:after="0"/>
        <w:rPr>
          <w:rStyle w:val="fontstyle01"/>
          <w:rFonts w:ascii="Arial" w:hAnsi="Arial" w:cs="Arial"/>
          <w:sz w:val="20"/>
          <w:szCs w:val="20"/>
        </w:rPr>
      </w:pPr>
    </w:p>
    <w:p w:rsidRPr="00A75E2F" w:rsidR="00B31296" w:rsidP="00A75E2F" w:rsidRDefault="00B31296" w14:paraId="524682CA" w14:textId="77777777">
      <w:pPr>
        <w:spacing w:after="0"/>
        <w:rPr>
          <w:rStyle w:val="fontstyle01"/>
          <w:rFonts w:ascii="Arial" w:hAnsi="Arial" w:cs="Arial"/>
          <w:sz w:val="20"/>
          <w:szCs w:val="20"/>
        </w:rPr>
      </w:pPr>
    </w:p>
    <w:p w:rsidRPr="00007910" w:rsidR="00F0374A" w:rsidP="00D4600C" w:rsidRDefault="00D4600C" w14:paraId="38934CD9" w14:textId="77777777">
      <w:pPr>
        <w:pStyle w:val="ListParagraph"/>
        <w:numPr>
          <w:ilvl w:val="0"/>
          <w:numId w:val="4"/>
        </w:numPr>
        <w:rPr>
          <w:rStyle w:val="fontstyle01"/>
          <w:rFonts w:ascii="Arial" w:hAnsi="Arial" w:cs="Arial"/>
          <w:b/>
          <w:bCs/>
        </w:rPr>
      </w:pPr>
      <w:r w:rsidRPr="00007910">
        <w:rPr>
          <w:rStyle w:val="fontstyle01"/>
          <w:rFonts w:ascii="Arial" w:hAnsi="Arial" w:cs="Arial"/>
          <w:b/>
          <w:bCs/>
        </w:rPr>
        <w:t>BACKGROUND</w:t>
      </w:r>
    </w:p>
    <w:p w:rsidRPr="00007910" w:rsidR="008E0E3C" w:rsidP="00A75E2F" w:rsidRDefault="00F0374A" w14:paraId="1CDB1C13" w14:textId="0C6FD317">
      <w:pPr>
        <w:jc w:val="both"/>
        <w:rPr>
          <w:rFonts w:ascii="Arial" w:hAnsi="Arial" w:cs="Arial"/>
          <w:sz w:val="24"/>
          <w:szCs w:val="24"/>
        </w:rPr>
      </w:pPr>
      <w:r w:rsidRPr="00007910">
        <w:rPr>
          <w:rFonts w:ascii="Arial" w:hAnsi="Arial" w:cs="Arial"/>
          <w:sz w:val="24"/>
          <w:szCs w:val="24"/>
        </w:rPr>
        <w:t>Pursuant to §§ 16-11</w:t>
      </w:r>
      <w:r w:rsidRPr="00007910" w:rsidR="00DB7E9A">
        <w:rPr>
          <w:rFonts w:ascii="Arial" w:hAnsi="Arial" w:cs="Arial"/>
          <w:sz w:val="24"/>
          <w:szCs w:val="24"/>
        </w:rPr>
        <w:t xml:space="preserve">, 16-243w, </w:t>
      </w:r>
      <w:r w:rsidRPr="00007910">
        <w:rPr>
          <w:rFonts w:ascii="Arial" w:hAnsi="Arial" w:cs="Arial"/>
          <w:sz w:val="24"/>
          <w:szCs w:val="24"/>
        </w:rPr>
        <w:t xml:space="preserve">and 16-244i of the General Statutes of Connecticut (Conn. Gen. Stat.), and in accordance with the Interim Decision dated October 2, 2019 in Docket No. 17-12-03, </w:t>
      </w:r>
      <w:r w:rsidRPr="00007910">
        <w:rPr>
          <w:rFonts w:ascii="Arial" w:hAnsi="Arial" w:cs="Arial"/>
          <w:sz w:val="24"/>
          <w:szCs w:val="24"/>
          <w:u w:val="single"/>
        </w:rPr>
        <w:t>PURA Investigation into Distribution System Planning of the Electric Distribution Companies</w:t>
      </w:r>
      <w:r w:rsidRPr="00007910">
        <w:rPr>
          <w:rFonts w:ascii="Arial" w:hAnsi="Arial" w:cs="Arial"/>
          <w:sz w:val="24"/>
          <w:szCs w:val="24"/>
        </w:rPr>
        <w:t xml:space="preserve"> (Interim Decision), the Authority establishes the </w:t>
      </w:r>
      <w:r w:rsidRPr="00007910" w:rsidR="009C1D92">
        <w:rPr>
          <w:rFonts w:ascii="Arial" w:hAnsi="Arial" w:cs="Arial"/>
          <w:sz w:val="24"/>
          <w:szCs w:val="24"/>
        </w:rPr>
        <w:t>non-wires alternative solutions process and program</w:t>
      </w:r>
      <w:r w:rsidRPr="00007910">
        <w:rPr>
          <w:rFonts w:ascii="Arial" w:hAnsi="Arial" w:cs="Arial"/>
          <w:sz w:val="24"/>
          <w:szCs w:val="24"/>
        </w:rPr>
        <w:t xml:space="preserve"> (</w:t>
      </w:r>
      <w:r w:rsidRPr="00007910" w:rsidR="009C1D92">
        <w:rPr>
          <w:rFonts w:ascii="Arial" w:hAnsi="Arial" w:cs="Arial"/>
          <w:sz w:val="24"/>
          <w:szCs w:val="24"/>
        </w:rPr>
        <w:t xml:space="preserve">NWA </w:t>
      </w:r>
      <w:r w:rsidRPr="00007910" w:rsidR="0082480F">
        <w:rPr>
          <w:rFonts w:ascii="Arial" w:hAnsi="Arial" w:cs="Arial"/>
          <w:sz w:val="24"/>
          <w:szCs w:val="24"/>
        </w:rPr>
        <w:t>Solutions Program</w:t>
      </w:r>
      <w:r w:rsidRPr="00007910">
        <w:rPr>
          <w:rFonts w:ascii="Arial" w:hAnsi="Arial" w:cs="Arial"/>
          <w:sz w:val="24"/>
          <w:szCs w:val="24"/>
        </w:rPr>
        <w:t>) defined herein</w:t>
      </w:r>
      <w:r w:rsidRPr="00007910" w:rsidR="001C1CB0">
        <w:rPr>
          <w:rFonts w:ascii="Arial" w:hAnsi="Arial" w:cs="Arial"/>
          <w:sz w:val="24"/>
          <w:szCs w:val="24"/>
        </w:rPr>
        <w:t>.</w:t>
      </w:r>
      <w:r w:rsidRPr="00007910">
        <w:rPr>
          <w:rFonts w:ascii="Arial" w:hAnsi="Arial" w:cs="Arial"/>
          <w:sz w:val="24"/>
          <w:szCs w:val="24"/>
        </w:rPr>
        <w:t xml:space="preserve"> </w:t>
      </w:r>
    </w:p>
    <w:p w:rsidRPr="00007910" w:rsidR="009C1D92" w:rsidP="00A75E2F" w:rsidRDefault="009C1D92" w14:paraId="2AE5C6AD" w14:textId="2AA4975A">
      <w:pPr>
        <w:spacing w:after="0"/>
        <w:jc w:val="both"/>
        <w:rPr>
          <w:rFonts w:ascii="Arial" w:hAnsi="Arial" w:cs="Arial"/>
          <w:sz w:val="24"/>
          <w:szCs w:val="24"/>
        </w:rPr>
      </w:pPr>
      <w:r w:rsidRPr="00007910">
        <w:rPr>
          <w:rFonts w:ascii="Arial" w:hAnsi="Arial" w:cs="Arial"/>
          <w:sz w:val="24"/>
          <w:szCs w:val="24"/>
        </w:rPr>
        <w:t xml:space="preserve">On June 18, 2020, the Public Utilities Regulatory Authority (Authority or PURA) </w:t>
      </w:r>
      <w:r w:rsidRPr="00007910" w:rsidR="00B673F8">
        <w:rPr>
          <w:rFonts w:ascii="Arial" w:hAnsi="Arial" w:cs="Arial"/>
          <w:sz w:val="24"/>
          <w:szCs w:val="24"/>
        </w:rPr>
        <w:t xml:space="preserve">initiated Docket No. </w:t>
      </w:r>
      <w:r w:rsidRPr="00007910" w:rsidR="008E0E3C">
        <w:rPr>
          <w:rStyle w:val="fontstyle01"/>
          <w:rFonts w:ascii="Arial" w:hAnsi="Arial" w:cs="Arial"/>
        </w:rPr>
        <w:t>17-12-03RE07</w:t>
      </w:r>
      <w:r w:rsidRPr="00007910" w:rsidR="00B673F8">
        <w:rPr>
          <w:rStyle w:val="fontstyle01"/>
          <w:rFonts w:ascii="Arial" w:hAnsi="Arial" w:cs="Arial"/>
        </w:rPr>
        <w:t>,</w:t>
      </w:r>
      <w:r w:rsidRPr="00007910" w:rsidR="00DF3469">
        <w:rPr>
          <w:rStyle w:val="fontstyle01"/>
          <w:rFonts w:ascii="Arial" w:hAnsi="Arial" w:cs="Arial"/>
        </w:rPr>
        <w:t xml:space="preserve"> </w:t>
      </w:r>
      <w:r w:rsidRPr="00007910" w:rsidR="00DF3469">
        <w:rPr>
          <w:rFonts w:ascii="Arial" w:hAnsi="Arial" w:cs="Arial"/>
          <w:color w:val="000000"/>
          <w:sz w:val="24"/>
          <w:szCs w:val="24"/>
          <w:u w:val="single"/>
        </w:rPr>
        <w:t>PURA Investigation into Distribution System Planning of the Electric Distribution Companies – Non-Wires Alternatives</w:t>
      </w:r>
      <w:r w:rsidRPr="00A75E2F" w:rsidR="00DB7E9A">
        <w:rPr>
          <w:rFonts w:ascii="Arial" w:hAnsi="Arial" w:cs="Arial"/>
          <w:color w:val="000000"/>
          <w:sz w:val="24"/>
          <w:szCs w:val="24"/>
        </w:rPr>
        <w:t xml:space="preserve">, </w:t>
      </w:r>
      <w:r w:rsidRPr="00007910">
        <w:rPr>
          <w:rFonts w:ascii="Arial" w:hAnsi="Arial" w:cs="Arial"/>
          <w:sz w:val="24"/>
          <w:szCs w:val="24"/>
        </w:rPr>
        <w:t>to establish a transparent and competitive process for comparing potential non-wires alternative</w:t>
      </w:r>
      <w:r w:rsidRPr="00007910" w:rsidR="00B34F6F">
        <w:rPr>
          <w:rFonts w:ascii="Arial" w:hAnsi="Arial" w:cs="Arial"/>
          <w:sz w:val="24"/>
          <w:szCs w:val="24"/>
        </w:rPr>
        <w:t>s</w:t>
      </w:r>
      <w:r w:rsidRPr="00007910">
        <w:rPr>
          <w:rFonts w:ascii="Arial" w:hAnsi="Arial" w:cs="Arial"/>
          <w:sz w:val="24"/>
          <w:szCs w:val="24"/>
        </w:rPr>
        <w:t xml:space="preserve"> (NWA) against traditional distribution system upgrades and other utility expenses.  This process will </w:t>
      </w:r>
      <w:r w:rsidRPr="00007910" w:rsidR="008E0E3C">
        <w:rPr>
          <w:rFonts w:ascii="Arial" w:hAnsi="Arial" w:cs="Arial"/>
          <w:sz w:val="24"/>
          <w:szCs w:val="24"/>
        </w:rPr>
        <w:t>substantially improve up</w:t>
      </w:r>
      <w:r w:rsidRPr="00007910">
        <w:rPr>
          <w:rFonts w:ascii="Arial" w:hAnsi="Arial" w:cs="Arial"/>
          <w:sz w:val="24"/>
          <w:szCs w:val="24"/>
        </w:rPr>
        <w:t xml:space="preserve">on existing electric distribution company (EDC) approaches and </w:t>
      </w:r>
      <w:r w:rsidRPr="00007910" w:rsidR="00DF1AA5">
        <w:rPr>
          <w:rFonts w:ascii="Arial" w:hAnsi="Arial" w:cs="Arial"/>
          <w:sz w:val="24"/>
          <w:szCs w:val="24"/>
        </w:rPr>
        <w:t xml:space="preserve">will </w:t>
      </w:r>
      <w:r w:rsidRPr="00007910">
        <w:rPr>
          <w:rFonts w:ascii="Arial" w:hAnsi="Arial" w:cs="Arial"/>
          <w:sz w:val="24"/>
          <w:szCs w:val="24"/>
        </w:rPr>
        <w:t>seek to leverage competitive forces to drive down the costs of both traditional distribution system capital and operational expenses and future NWA solutions in Connecticut in accordance with the Framework for an Equitable Modern Grid</w:t>
      </w:r>
      <w:r w:rsidRPr="00007910" w:rsidR="005363BD">
        <w:rPr>
          <w:rFonts w:ascii="Arial" w:hAnsi="Arial" w:cs="Arial"/>
          <w:sz w:val="24"/>
          <w:szCs w:val="24"/>
        </w:rPr>
        <w:t xml:space="preserve"> (EMG)</w:t>
      </w:r>
      <w:r w:rsidRPr="00007910">
        <w:rPr>
          <w:rFonts w:ascii="Arial" w:hAnsi="Arial" w:cs="Arial"/>
          <w:sz w:val="24"/>
          <w:szCs w:val="24"/>
        </w:rPr>
        <w:t>.</w:t>
      </w:r>
      <w:r w:rsidRPr="00007910">
        <w:rPr>
          <w:rStyle w:val="FootnoteReference"/>
          <w:rFonts w:cs="Arial"/>
        </w:rPr>
        <w:footnoteReference w:id="2"/>
      </w:r>
      <w:r w:rsidRPr="00007910">
        <w:rPr>
          <w:rFonts w:ascii="Arial" w:hAnsi="Arial" w:cs="Arial"/>
          <w:sz w:val="24"/>
          <w:szCs w:val="24"/>
        </w:rPr>
        <w:t xml:space="preserve"> </w:t>
      </w:r>
      <w:r w:rsidRPr="00007910" w:rsidR="005363BD">
        <w:rPr>
          <w:rFonts w:ascii="Arial" w:hAnsi="Arial" w:cs="Arial"/>
          <w:sz w:val="24"/>
          <w:szCs w:val="24"/>
        </w:rPr>
        <w:t xml:space="preserve"> Th</w:t>
      </w:r>
      <w:r w:rsidRPr="00007910" w:rsidR="00DF1AA5">
        <w:rPr>
          <w:rFonts w:ascii="Arial" w:hAnsi="Arial" w:cs="Arial"/>
          <w:sz w:val="24"/>
          <w:szCs w:val="24"/>
        </w:rPr>
        <w:t>is</w:t>
      </w:r>
      <w:r w:rsidRPr="00007910" w:rsidR="005363BD">
        <w:rPr>
          <w:rFonts w:ascii="Arial" w:hAnsi="Arial" w:cs="Arial"/>
          <w:sz w:val="24"/>
          <w:szCs w:val="24"/>
        </w:rPr>
        <w:t xml:space="preserve"> process will </w:t>
      </w:r>
      <w:r w:rsidRPr="00007910" w:rsidR="00DF1AA5">
        <w:rPr>
          <w:rFonts w:ascii="Arial" w:hAnsi="Arial" w:cs="Arial"/>
          <w:sz w:val="24"/>
          <w:szCs w:val="24"/>
        </w:rPr>
        <w:t>also aim to</w:t>
      </w:r>
      <w:r w:rsidRPr="00007910" w:rsidR="005363BD">
        <w:rPr>
          <w:rFonts w:ascii="Arial" w:hAnsi="Arial" w:cs="Arial"/>
          <w:sz w:val="24"/>
          <w:szCs w:val="24"/>
        </w:rPr>
        <w:t xml:space="preserve"> unlock </w:t>
      </w:r>
      <w:r w:rsidRPr="00007910" w:rsidR="00DF1AA5">
        <w:rPr>
          <w:rFonts w:ascii="Arial" w:hAnsi="Arial" w:cs="Arial"/>
          <w:sz w:val="24"/>
          <w:szCs w:val="24"/>
        </w:rPr>
        <w:t>the potential</w:t>
      </w:r>
      <w:r w:rsidRPr="00007910" w:rsidR="005363BD">
        <w:rPr>
          <w:rFonts w:ascii="Arial" w:hAnsi="Arial" w:cs="Arial"/>
          <w:sz w:val="24"/>
          <w:szCs w:val="24"/>
        </w:rPr>
        <w:t xml:space="preserve"> benefits streams, both electric system and non-electric system benefits, associated with NWAs </w:t>
      </w:r>
      <w:r w:rsidRPr="00007910" w:rsidR="00DF1AA5">
        <w:rPr>
          <w:rFonts w:ascii="Arial" w:hAnsi="Arial" w:cs="Arial"/>
          <w:sz w:val="24"/>
          <w:szCs w:val="24"/>
        </w:rPr>
        <w:t xml:space="preserve">to </w:t>
      </w:r>
      <w:r w:rsidRPr="00007910" w:rsidR="005363BD">
        <w:rPr>
          <w:rFonts w:ascii="Arial" w:hAnsi="Arial" w:cs="Arial"/>
          <w:sz w:val="24"/>
          <w:szCs w:val="24"/>
        </w:rPr>
        <w:t>achiev</w:t>
      </w:r>
      <w:r w:rsidRPr="00007910" w:rsidR="00DF1AA5">
        <w:rPr>
          <w:rFonts w:ascii="Arial" w:hAnsi="Arial" w:cs="Arial"/>
          <w:sz w:val="24"/>
          <w:szCs w:val="24"/>
        </w:rPr>
        <w:t>e</w:t>
      </w:r>
      <w:r w:rsidRPr="00007910" w:rsidR="005363BD">
        <w:rPr>
          <w:rFonts w:ascii="Arial" w:hAnsi="Arial" w:cs="Arial"/>
          <w:sz w:val="24"/>
          <w:szCs w:val="24"/>
        </w:rPr>
        <w:t xml:space="preserve"> </w:t>
      </w:r>
      <w:r w:rsidRPr="00007910" w:rsidR="00DF1AA5">
        <w:rPr>
          <w:rFonts w:ascii="Arial" w:hAnsi="Arial" w:cs="Arial"/>
          <w:sz w:val="24"/>
          <w:szCs w:val="24"/>
        </w:rPr>
        <w:t xml:space="preserve">the </w:t>
      </w:r>
      <w:r w:rsidRPr="00007910" w:rsidR="005363BD">
        <w:rPr>
          <w:rFonts w:ascii="Arial" w:hAnsi="Arial" w:cs="Arial"/>
          <w:sz w:val="24"/>
          <w:szCs w:val="24"/>
        </w:rPr>
        <w:t xml:space="preserve">objectives </w:t>
      </w:r>
      <w:r w:rsidRPr="00007910" w:rsidR="00DF1AA5">
        <w:rPr>
          <w:rFonts w:ascii="Arial" w:hAnsi="Arial" w:cs="Arial"/>
          <w:sz w:val="24"/>
          <w:szCs w:val="24"/>
        </w:rPr>
        <w:t xml:space="preserve">of </w:t>
      </w:r>
      <w:r w:rsidRPr="00007910" w:rsidR="005363BD">
        <w:rPr>
          <w:rFonts w:ascii="Arial" w:hAnsi="Arial" w:cs="Arial"/>
          <w:sz w:val="24"/>
          <w:szCs w:val="24"/>
        </w:rPr>
        <w:t xml:space="preserve">the EMG.  </w:t>
      </w:r>
      <w:r w:rsidRPr="00007910" w:rsidR="008E0E3C">
        <w:rPr>
          <w:rFonts w:ascii="Arial" w:hAnsi="Arial" w:cs="Arial"/>
          <w:sz w:val="24"/>
          <w:szCs w:val="24"/>
        </w:rPr>
        <w:t xml:space="preserve">The NWA Solutions Program </w:t>
      </w:r>
      <w:r w:rsidRPr="00007910" w:rsidR="005363BD">
        <w:rPr>
          <w:rFonts w:ascii="Arial" w:hAnsi="Arial" w:cs="Arial"/>
          <w:sz w:val="24"/>
          <w:szCs w:val="24"/>
        </w:rPr>
        <w:t>will be</w:t>
      </w:r>
      <w:r w:rsidRPr="00007910" w:rsidR="008E0E3C">
        <w:rPr>
          <w:rFonts w:ascii="Arial" w:hAnsi="Arial" w:cs="Arial"/>
          <w:sz w:val="24"/>
          <w:szCs w:val="24"/>
        </w:rPr>
        <w:t xml:space="preserve"> implement</w:t>
      </w:r>
      <w:r w:rsidRPr="00007910" w:rsidR="005363BD">
        <w:rPr>
          <w:rFonts w:ascii="Arial" w:hAnsi="Arial" w:cs="Arial"/>
          <w:sz w:val="24"/>
          <w:szCs w:val="24"/>
        </w:rPr>
        <w:t>ed</w:t>
      </w:r>
      <w:r w:rsidRPr="00007910" w:rsidR="008E0E3C">
        <w:rPr>
          <w:rFonts w:ascii="Arial" w:hAnsi="Arial" w:cs="Arial"/>
          <w:sz w:val="24"/>
          <w:szCs w:val="24"/>
        </w:rPr>
        <w:t xml:space="preserve"> </w:t>
      </w:r>
      <w:r w:rsidRPr="00007910" w:rsidR="00F0374A">
        <w:rPr>
          <w:rFonts w:ascii="Arial" w:hAnsi="Arial" w:cs="Arial"/>
          <w:sz w:val="24"/>
          <w:szCs w:val="24"/>
        </w:rPr>
        <w:t>within the service territories of the Connecticut Light and Power Company d/b/a Ever</w:t>
      </w:r>
      <w:r w:rsidR="00255663">
        <w:rPr>
          <w:rFonts w:ascii="Arial" w:hAnsi="Arial" w:cs="Arial"/>
          <w:sz w:val="24"/>
          <w:szCs w:val="24"/>
        </w:rPr>
        <w:t>source Energy (Eversource) and T</w:t>
      </w:r>
      <w:r w:rsidRPr="00007910" w:rsidR="00F0374A">
        <w:rPr>
          <w:rFonts w:ascii="Arial" w:hAnsi="Arial" w:cs="Arial"/>
          <w:sz w:val="24"/>
          <w:szCs w:val="24"/>
        </w:rPr>
        <w:t>he United Illuminating Company (UI; collectively, electric distribution companies</w:t>
      </w:r>
      <w:r w:rsidRPr="00007910" w:rsidR="00750EB6">
        <w:rPr>
          <w:rFonts w:ascii="Arial" w:hAnsi="Arial" w:cs="Arial"/>
          <w:sz w:val="24"/>
          <w:szCs w:val="24"/>
        </w:rPr>
        <w:t xml:space="preserve"> or EDCs</w:t>
      </w:r>
      <w:r w:rsidRPr="00007910" w:rsidR="00F0374A">
        <w:rPr>
          <w:rFonts w:ascii="Arial" w:hAnsi="Arial" w:cs="Arial"/>
          <w:sz w:val="24"/>
          <w:szCs w:val="24"/>
        </w:rPr>
        <w:t xml:space="preserve">). </w:t>
      </w:r>
    </w:p>
    <w:p w:rsidR="007F6D74" w:rsidRDefault="007F6D74" w14:paraId="41FC4850" w14:textId="16B93B9C">
      <w:pPr>
        <w:rPr>
          <w:rFonts w:ascii="Arial" w:hAnsi="Arial" w:cs="Arial"/>
          <w:sz w:val="20"/>
          <w:szCs w:val="20"/>
        </w:rPr>
      </w:pPr>
      <w:r>
        <w:rPr>
          <w:rFonts w:ascii="Arial" w:hAnsi="Arial" w:cs="Arial"/>
          <w:sz w:val="20"/>
          <w:szCs w:val="20"/>
        </w:rPr>
        <w:br w:type="page"/>
      </w:r>
    </w:p>
    <w:p w:rsidRPr="00A75E2F" w:rsidR="00DF1AA5" w:rsidP="00A75E2F" w:rsidRDefault="002E0B4E" w14:paraId="1C6E0EF2" w14:textId="5C032D51">
      <w:pPr>
        <w:pStyle w:val="ListParagraph"/>
        <w:numPr>
          <w:ilvl w:val="0"/>
          <w:numId w:val="4"/>
        </w:numPr>
        <w:jc w:val="both"/>
        <w:rPr>
          <w:rStyle w:val="fontstyle01"/>
          <w:rFonts w:ascii="Arial" w:hAnsi="Arial" w:cs="Arial"/>
          <w:b/>
          <w:bCs/>
          <w:caps/>
        </w:rPr>
      </w:pPr>
      <w:r w:rsidRPr="00A75E2F">
        <w:rPr>
          <w:rStyle w:val="fontstyle01"/>
          <w:rFonts w:ascii="Arial" w:hAnsi="Arial" w:cs="Arial"/>
          <w:b/>
          <w:bCs/>
          <w:caps/>
        </w:rPr>
        <w:lastRenderedPageBreak/>
        <w:t>Conduct of Proceeding</w:t>
      </w:r>
    </w:p>
    <w:p w:rsidRPr="00007910" w:rsidR="006E4700" w:rsidP="00A75E2F" w:rsidRDefault="00F72FC5" w14:paraId="52910FD7" w14:textId="4CD963F8">
      <w:pPr>
        <w:jc w:val="both"/>
        <w:rPr>
          <w:rFonts w:ascii="Arial" w:hAnsi="Arial" w:cs="Arial"/>
          <w:sz w:val="24"/>
          <w:szCs w:val="24"/>
        </w:rPr>
      </w:pPr>
      <w:r w:rsidRPr="00007910">
        <w:rPr>
          <w:rFonts w:ascii="Arial" w:hAnsi="Arial" w:cs="Arial"/>
          <w:sz w:val="24"/>
          <w:szCs w:val="24"/>
        </w:rPr>
        <w:t xml:space="preserve">The Authority held two Solutions Days </w:t>
      </w:r>
      <w:r w:rsidRPr="00007910" w:rsidR="00D45E03">
        <w:rPr>
          <w:rFonts w:ascii="Arial" w:hAnsi="Arial" w:cs="Arial"/>
          <w:sz w:val="24"/>
          <w:szCs w:val="24"/>
        </w:rPr>
        <w:t>in the instant proceeding</w:t>
      </w:r>
      <w:r w:rsidRPr="00007910">
        <w:rPr>
          <w:rFonts w:ascii="Arial" w:hAnsi="Arial" w:cs="Arial"/>
          <w:sz w:val="24"/>
          <w:szCs w:val="24"/>
        </w:rPr>
        <w:t xml:space="preserve"> </w:t>
      </w:r>
      <w:r w:rsidRPr="00007910" w:rsidR="00D45E03">
        <w:rPr>
          <w:rFonts w:ascii="Arial" w:hAnsi="Arial" w:cs="Arial"/>
          <w:sz w:val="24"/>
          <w:szCs w:val="24"/>
        </w:rPr>
        <w:t xml:space="preserve">on </w:t>
      </w:r>
      <w:r w:rsidRPr="00007910">
        <w:rPr>
          <w:rFonts w:ascii="Arial" w:hAnsi="Arial" w:cs="Arial"/>
          <w:sz w:val="24"/>
          <w:szCs w:val="24"/>
        </w:rPr>
        <w:t>August</w:t>
      </w:r>
      <w:r w:rsidRPr="00007910" w:rsidR="00D45E03">
        <w:rPr>
          <w:rFonts w:ascii="Arial" w:hAnsi="Arial" w:cs="Arial"/>
          <w:sz w:val="24"/>
          <w:szCs w:val="24"/>
        </w:rPr>
        <w:t xml:space="preserve"> 4,</w:t>
      </w:r>
      <w:r w:rsidRPr="00007910">
        <w:rPr>
          <w:rFonts w:ascii="Arial" w:hAnsi="Arial" w:cs="Arial"/>
          <w:sz w:val="24"/>
          <w:szCs w:val="24"/>
        </w:rPr>
        <w:t xml:space="preserve"> 2020 </w:t>
      </w:r>
      <w:r w:rsidRPr="00007910" w:rsidR="00D45E03">
        <w:rPr>
          <w:rFonts w:ascii="Arial" w:hAnsi="Arial" w:cs="Arial"/>
          <w:sz w:val="24"/>
          <w:szCs w:val="24"/>
        </w:rPr>
        <w:t>and August 26, 2020.  On September 29, 2020, the Authority issued a Notice of Request for Written Comments due November 13, 2020.  The Authority</w:t>
      </w:r>
      <w:r w:rsidRPr="00007910">
        <w:rPr>
          <w:rFonts w:ascii="Arial" w:hAnsi="Arial" w:cs="Arial"/>
          <w:sz w:val="24"/>
          <w:szCs w:val="24"/>
        </w:rPr>
        <w:t xml:space="preserve"> reviewed </w:t>
      </w:r>
      <w:r w:rsidRPr="00007910" w:rsidR="00D45E03">
        <w:rPr>
          <w:rFonts w:ascii="Arial" w:hAnsi="Arial" w:cs="Arial"/>
          <w:sz w:val="24"/>
          <w:szCs w:val="24"/>
        </w:rPr>
        <w:t xml:space="preserve">the </w:t>
      </w:r>
      <w:r w:rsidRPr="00007910">
        <w:rPr>
          <w:rFonts w:ascii="Arial" w:hAnsi="Arial" w:cs="Arial"/>
          <w:sz w:val="24"/>
          <w:szCs w:val="24"/>
        </w:rPr>
        <w:t xml:space="preserve">comments submitted </w:t>
      </w:r>
      <w:r w:rsidRPr="00007910" w:rsidR="00D45E03">
        <w:rPr>
          <w:rFonts w:ascii="Arial" w:hAnsi="Arial" w:cs="Arial"/>
          <w:sz w:val="24"/>
          <w:szCs w:val="24"/>
        </w:rPr>
        <w:t xml:space="preserve">in response to its September 29 Notice, including those comments submitted </w:t>
      </w:r>
      <w:r w:rsidRPr="00007910">
        <w:rPr>
          <w:rFonts w:ascii="Arial" w:hAnsi="Arial" w:cs="Arial"/>
          <w:sz w:val="24"/>
          <w:szCs w:val="24"/>
        </w:rPr>
        <w:t xml:space="preserve">by the </w:t>
      </w:r>
      <w:r w:rsidRPr="00007910" w:rsidR="00750EB6">
        <w:rPr>
          <w:rFonts w:ascii="Arial" w:hAnsi="Arial" w:cs="Arial"/>
          <w:sz w:val="24"/>
          <w:szCs w:val="24"/>
        </w:rPr>
        <w:t xml:space="preserve">Department of </w:t>
      </w:r>
      <w:r w:rsidRPr="00007910" w:rsidR="00A83626">
        <w:rPr>
          <w:rFonts w:ascii="Arial" w:hAnsi="Arial" w:cs="Arial"/>
          <w:sz w:val="24"/>
          <w:szCs w:val="24"/>
        </w:rPr>
        <w:t>Energy and Environmental Protection (DEEP)</w:t>
      </w:r>
      <w:r w:rsidRPr="00007910">
        <w:rPr>
          <w:rFonts w:ascii="Arial" w:hAnsi="Arial" w:cs="Arial"/>
          <w:sz w:val="24"/>
          <w:szCs w:val="24"/>
        </w:rPr>
        <w:t xml:space="preserve">, the </w:t>
      </w:r>
      <w:r w:rsidRPr="00007910" w:rsidR="008B21C1">
        <w:rPr>
          <w:rFonts w:ascii="Arial" w:hAnsi="Arial" w:cs="Arial"/>
          <w:sz w:val="24"/>
          <w:szCs w:val="24"/>
        </w:rPr>
        <w:t>Office</w:t>
      </w:r>
      <w:r w:rsidRPr="00007910">
        <w:rPr>
          <w:rFonts w:ascii="Arial" w:hAnsi="Arial" w:cs="Arial"/>
          <w:sz w:val="24"/>
          <w:szCs w:val="24"/>
        </w:rPr>
        <w:t xml:space="preserve"> of Consumer Counsel</w:t>
      </w:r>
      <w:r w:rsidRPr="00007910" w:rsidR="00D45E03">
        <w:rPr>
          <w:rFonts w:ascii="Arial" w:hAnsi="Arial" w:cs="Arial"/>
          <w:sz w:val="24"/>
          <w:szCs w:val="24"/>
        </w:rPr>
        <w:t xml:space="preserve"> (OCC)</w:t>
      </w:r>
      <w:r w:rsidRPr="00007910" w:rsidR="00750EB6">
        <w:rPr>
          <w:rFonts w:ascii="Arial" w:hAnsi="Arial" w:cs="Arial"/>
          <w:sz w:val="24"/>
          <w:szCs w:val="24"/>
        </w:rPr>
        <w:t>, the EDCs</w:t>
      </w:r>
      <w:r w:rsidRPr="00007910" w:rsidR="00D45E03">
        <w:rPr>
          <w:rFonts w:ascii="Arial" w:hAnsi="Arial" w:cs="Arial"/>
          <w:sz w:val="24"/>
          <w:szCs w:val="24"/>
        </w:rPr>
        <w:t xml:space="preserve">, as well as the comments submitted by </w:t>
      </w:r>
      <w:r w:rsidRPr="00007910" w:rsidR="00AC50C3">
        <w:rPr>
          <w:rFonts w:ascii="Arial" w:hAnsi="Arial" w:cs="Arial"/>
          <w:sz w:val="24"/>
          <w:szCs w:val="24"/>
        </w:rPr>
        <w:t>other</w:t>
      </w:r>
      <w:r w:rsidRPr="00007910">
        <w:rPr>
          <w:rFonts w:ascii="Arial" w:hAnsi="Arial" w:cs="Arial"/>
          <w:sz w:val="24"/>
          <w:szCs w:val="24"/>
        </w:rPr>
        <w:t xml:space="preserve"> interested stakeholders. </w:t>
      </w:r>
      <w:r w:rsidRPr="00007910" w:rsidR="00D61D41">
        <w:rPr>
          <w:rFonts w:ascii="Arial" w:hAnsi="Arial" w:cs="Arial"/>
          <w:sz w:val="24"/>
          <w:szCs w:val="24"/>
        </w:rPr>
        <w:t xml:space="preserve">Additionally, the Authority issued two sets of interrogatories on December 21, 2020 and January </w:t>
      </w:r>
      <w:r w:rsidRPr="00007910" w:rsidR="006E4700">
        <w:rPr>
          <w:rFonts w:ascii="Arial" w:hAnsi="Arial" w:cs="Arial"/>
          <w:sz w:val="24"/>
          <w:szCs w:val="24"/>
        </w:rPr>
        <w:t>4, 2021.</w:t>
      </w:r>
    </w:p>
    <w:p w:rsidRPr="00007910" w:rsidR="003C5688" w:rsidP="00A75E2F" w:rsidRDefault="00F72FC5" w14:paraId="3D1AC64C" w14:textId="16E1303B">
      <w:pPr>
        <w:jc w:val="both"/>
        <w:rPr>
          <w:rFonts w:ascii="Arial" w:hAnsi="Arial" w:cs="Arial"/>
          <w:sz w:val="24"/>
          <w:szCs w:val="24"/>
        </w:rPr>
      </w:pPr>
      <w:r w:rsidRPr="00007910">
        <w:rPr>
          <w:rFonts w:ascii="Arial" w:hAnsi="Arial" w:cs="Arial"/>
          <w:sz w:val="24"/>
          <w:szCs w:val="24"/>
        </w:rPr>
        <w:t xml:space="preserve">With appreciation for those comments and input, the Authority issues this </w:t>
      </w:r>
      <w:r w:rsidRPr="00007910" w:rsidR="00EC07B9">
        <w:rPr>
          <w:rFonts w:ascii="Arial" w:hAnsi="Arial" w:cs="Arial"/>
          <w:sz w:val="24"/>
          <w:szCs w:val="24"/>
        </w:rPr>
        <w:t>S</w:t>
      </w:r>
      <w:r w:rsidRPr="00007910">
        <w:rPr>
          <w:rFonts w:ascii="Arial" w:hAnsi="Arial" w:cs="Arial"/>
          <w:sz w:val="24"/>
          <w:szCs w:val="24"/>
        </w:rPr>
        <w:t xml:space="preserve">traw </w:t>
      </w:r>
      <w:r w:rsidRPr="00007910" w:rsidR="00EC07B9">
        <w:rPr>
          <w:rFonts w:ascii="Arial" w:hAnsi="Arial" w:cs="Arial"/>
          <w:sz w:val="24"/>
          <w:szCs w:val="24"/>
        </w:rPr>
        <w:t>P</w:t>
      </w:r>
      <w:r w:rsidRPr="00007910">
        <w:rPr>
          <w:rFonts w:ascii="Arial" w:hAnsi="Arial" w:cs="Arial"/>
          <w:sz w:val="24"/>
          <w:szCs w:val="24"/>
        </w:rPr>
        <w:t>roposal.</w:t>
      </w:r>
      <w:r w:rsidRPr="00007910" w:rsidR="006A21B0">
        <w:rPr>
          <w:rFonts w:ascii="Arial" w:hAnsi="Arial" w:cs="Arial"/>
          <w:sz w:val="24"/>
          <w:szCs w:val="24"/>
        </w:rPr>
        <w:t xml:space="preserve">  The </w:t>
      </w:r>
      <w:r w:rsidRPr="00007910" w:rsidR="00EC07B9">
        <w:rPr>
          <w:rFonts w:ascii="Arial" w:hAnsi="Arial" w:cs="Arial"/>
          <w:sz w:val="24"/>
          <w:szCs w:val="24"/>
        </w:rPr>
        <w:t>S</w:t>
      </w:r>
      <w:r w:rsidRPr="00007910" w:rsidR="006A21B0">
        <w:rPr>
          <w:rFonts w:ascii="Arial" w:hAnsi="Arial" w:cs="Arial"/>
          <w:sz w:val="24"/>
          <w:szCs w:val="24"/>
        </w:rPr>
        <w:t xml:space="preserve">traw </w:t>
      </w:r>
      <w:r w:rsidRPr="00007910" w:rsidR="00EC07B9">
        <w:rPr>
          <w:rFonts w:ascii="Arial" w:hAnsi="Arial" w:cs="Arial"/>
          <w:sz w:val="24"/>
          <w:szCs w:val="24"/>
        </w:rPr>
        <w:t>P</w:t>
      </w:r>
      <w:r w:rsidRPr="00007910" w:rsidR="006A21B0">
        <w:rPr>
          <w:rFonts w:ascii="Arial" w:hAnsi="Arial" w:cs="Arial"/>
          <w:sz w:val="24"/>
          <w:szCs w:val="24"/>
        </w:rPr>
        <w:t>roposal includes</w:t>
      </w:r>
      <w:r w:rsidRPr="00007910" w:rsidR="006D173B">
        <w:rPr>
          <w:rFonts w:ascii="Arial" w:hAnsi="Arial" w:cs="Arial"/>
          <w:sz w:val="24"/>
          <w:szCs w:val="24"/>
        </w:rPr>
        <w:t xml:space="preserve"> a discussion of the following program elements</w:t>
      </w:r>
      <w:r w:rsidRPr="00007910" w:rsidR="006A21B0">
        <w:rPr>
          <w:rFonts w:ascii="Arial" w:hAnsi="Arial" w:cs="Arial"/>
          <w:sz w:val="24"/>
          <w:szCs w:val="24"/>
        </w:rPr>
        <w:t xml:space="preserve">:  </w:t>
      </w:r>
    </w:p>
    <w:p w:rsidRPr="00007910" w:rsidR="005373F3" w:rsidP="005373F3" w:rsidRDefault="006D173B" w14:paraId="01043614" w14:textId="77777777">
      <w:pPr>
        <w:pStyle w:val="ListParagraph"/>
        <w:numPr>
          <w:ilvl w:val="0"/>
          <w:numId w:val="38"/>
        </w:numPr>
        <w:ind w:hanging="720"/>
        <w:rPr>
          <w:rStyle w:val="fontstyle01"/>
          <w:rFonts w:ascii="Arial" w:hAnsi="Arial" w:cs="Arial"/>
        </w:rPr>
      </w:pPr>
      <w:r w:rsidRPr="00007910">
        <w:rPr>
          <w:rStyle w:val="fontstyle01"/>
          <w:rFonts w:ascii="Arial" w:hAnsi="Arial" w:cs="Arial"/>
        </w:rPr>
        <w:t>Program Administration</w:t>
      </w:r>
    </w:p>
    <w:p w:rsidRPr="00007910" w:rsidR="005373F3" w:rsidP="005373F3" w:rsidRDefault="006D173B" w14:paraId="3BF65078" w14:textId="77777777">
      <w:pPr>
        <w:pStyle w:val="ListParagraph"/>
        <w:numPr>
          <w:ilvl w:val="0"/>
          <w:numId w:val="38"/>
        </w:numPr>
        <w:ind w:hanging="720"/>
        <w:rPr>
          <w:rStyle w:val="fontstyle01"/>
          <w:rFonts w:ascii="Arial" w:hAnsi="Arial" w:cs="Arial"/>
        </w:rPr>
      </w:pPr>
      <w:r w:rsidRPr="00007910">
        <w:rPr>
          <w:rStyle w:val="fontstyle01"/>
          <w:rFonts w:ascii="Arial" w:hAnsi="Arial" w:cs="Arial"/>
        </w:rPr>
        <w:t>Suitability Criteria for NWA Solutions Expected to Evolve with Experience</w:t>
      </w:r>
    </w:p>
    <w:p w:rsidRPr="00007910" w:rsidR="005373F3" w:rsidP="005373F3" w:rsidRDefault="006D173B" w14:paraId="322B93A3" w14:textId="77777777">
      <w:pPr>
        <w:pStyle w:val="ListParagraph"/>
        <w:numPr>
          <w:ilvl w:val="0"/>
          <w:numId w:val="38"/>
        </w:numPr>
        <w:ind w:hanging="720"/>
        <w:rPr>
          <w:rStyle w:val="fontstyle01"/>
          <w:rFonts w:ascii="Arial" w:hAnsi="Arial" w:cs="Arial"/>
        </w:rPr>
      </w:pPr>
      <w:r w:rsidRPr="00007910">
        <w:rPr>
          <w:rStyle w:val="fontstyle01"/>
          <w:rFonts w:ascii="Arial" w:hAnsi="Arial" w:cs="Arial"/>
        </w:rPr>
        <w:t>NWA Screening Process Among the EDCs and Stakeholders</w:t>
      </w:r>
    </w:p>
    <w:p w:rsidRPr="00007910" w:rsidR="005373F3" w:rsidP="005373F3" w:rsidRDefault="006D173B" w14:paraId="7A4F615E" w14:textId="77777777">
      <w:pPr>
        <w:pStyle w:val="ListParagraph"/>
        <w:numPr>
          <w:ilvl w:val="0"/>
          <w:numId w:val="38"/>
        </w:numPr>
        <w:ind w:hanging="720"/>
        <w:rPr>
          <w:rStyle w:val="fontstyle01"/>
          <w:rFonts w:ascii="Arial" w:hAnsi="Arial" w:cs="Arial"/>
        </w:rPr>
      </w:pPr>
      <w:r w:rsidRPr="00007910">
        <w:rPr>
          <w:rStyle w:val="fontstyle01"/>
          <w:rFonts w:ascii="Arial" w:hAnsi="Arial" w:cs="Arial"/>
        </w:rPr>
        <w:t>Competitive Solicitation Process</w:t>
      </w:r>
    </w:p>
    <w:p w:rsidRPr="00007910" w:rsidR="005373F3" w:rsidP="005373F3" w:rsidRDefault="006D173B" w14:paraId="0C33BF71" w14:textId="77777777">
      <w:pPr>
        <w:pStyle w:val="ListParagraph"/>
        <w:numPr>
          <w:ilvl w:val="0"/>
          <w:numId w:val="38"/>
        </w:numPr>
        <w:ind w:hanging="720"/>
        <w:rPr>
          <w:rStyle w:val="fontstyle01"/>
          <w:rFonts w:ascii="Arial" w:hAnsi="Arial" w:cs="Arial"/>
        </w:rPr>
      </w:pPr>
      <w:r w:rsidRPr="00007910">
        <w:rPr>
          <w:rStyle w:val="fontstyle01"/>
          <w:rFonts w:ascii="Arial" w:hAnsi="Arial" w:cs="Arial"/>
        </w:rPr>
        <w:t>BCA Framework Elements</w:t>
      </w:r>
    </w:p>
    <w:p w:rsidRPr="00007910" w:rsidR="005373F3" w:rsidP="005373F3" w:rsidRDefault="006D173B" w14:paraId="3E29C6F7" w14:textId="77777777">
      <w:pPr>
        <w:pStyle w:val="ListParagraph"/>
        <w:numPr>
          <w:ilvl w:val="0"/>
          <w:numId w:val="38"/>
        </w:numPr>
        <w:ind w:hanging="720"/>
        <w:rPr>
          <w:rStyle w:val="fontstyle01"/>
          <w:rFonts w:ascii="Arial" w:hAnsi="Arial" w:cs="Arial"/>
        </w:rPr>
      </w:pPr>
      <w:r w:rsidRPr="00007910">
        <w:rPr>
          <w:rStyle w:val="fontstyle01"/>
          <w:rFonts w:ascii="Arial" w:hAnsi="Arial" w:cs="Arial"/>
        </w:rPr>
        <w:t>NWA Resources that Qualify to be Considered and Use Cases</w:t>
      </w:r>
    </w:p>
    <w:p w:rsidRPr="00007910" w:rsidR="005373F3" w:rsidP="005373F3" w:rsidRDefault="006D173B" w14:paraId="09375CEC" w14:textId="77777777">
      <w:pPr>
        <w:pStyle w:val="ListParagraph"/>
        <w:numPr>
          <w:ilvl w:val="0"/>
          <w:numId w:val="38"/>
        </w:numPr>
        <w:ind w:hanging="720"/>
        <w:rPr>
          <w:rStyle w:val="fontstyle01"/>
          <w:rFonts w:ascii="Arial" w:hAnsi="Arial" w:cs="Arial"/>
        </w:rPr>
      </w:pPr>
      <w:r w:rsidRPr="00007910">
        <w:rPr>
          <w:rStyle w:val="fontstyle01"/>
          <w:rFonts w:ascii="Arial" w:hAnsi="Arial" w:cs="Arial"/>
        </w:rPr>
        <w:t>Performance Criteria</w:t>
      </w:r>
    </w:p>
    <w:p w:rsidRPr="00007910" w:rsidR="005373F3" w:rsidP="005373F3" w:rsidRDefault="006D173B" w14:paraId="1284F4AC" w14:textId="77777777">
      <w:pPr>
        <w:pStyle w:val="ListParagraph"/>
        <w:numPr>
          <w:ilvl w:val="0"/>
          <w:numId w:val="38"/>
        </w:numPr>
        <w:ind w:hanging="720"/>
        <w:rPr>
          <w:rStyle w:val="fontstyle01"/>
          <w:rFonts w:ascii="Arial" w:hAnsi="Arial" w:cs="Arial"/>
        </w:rPr>
      </w:pPr>
      <w:r w:rsidRPr="00007910">
        <w:rPr>
          <w:rStyle w:val="fontstyle01"/>
          <w:rFonts w:ascii="Arial" w:hAnsi="Arial" w:cs="Arial"/>
        </w:rPr>
        <w:t>Measurement and Verification Plan Requirements</w:t>
      </w:r>
    </w:p>
    <w:p w:rsidRPr="00007910" w:rsidR="005373F3" w:rsidP="005373F3" w:rsidRDefault="006D173B" w14:paraId="52628589" w14:textId="77777777">
      <w:pPr>
        <w:pStyle w:val="ListParagraph"/>
        <w:numPr>
          <w:ilvl w:val="0"/>
          <w:numId w:val="38"/>
        </w:numPr>
        <w:ind w:hanging="720"/>
        <w:rPr>
          <w:rStyle w:val="fontstyle01"/>
          <w:rFonts w:ascii="Arial" w:hAnsi="Arial" w:cs="Arial"/>
        </w:rPr>
      </w:pPr>
      <w:r w:rsidRPr="00007910">
        <w:rPr>
          <w:rStyle w:val="fontstyle01"/>
          <w:rFonts w:ascii="Arial" w:hAnsi="Arial" w:cs="Arial"/>
        </w:rPr>
        <w:t>Ownership Models</w:t>
      </w:r>
    </w:p>
    <w:p w:rsidRPr="00007910" w:rsidR="005373F3" w:rsidP="005373F3" w:rsidRDefault="006D173B" w14:paraId="47E8B732" w14:textId="77777777">
      <w:pPr>
        <w:pStyle w:val="ListParagraph"/>
        <w:numPr>
          <w:ilvl w:val="0"/>
          <w:numId w:val="38"/>
        </w:numPr>
        <w:ind w:hanging="720"/>
        <w:rPr>
          <w:rStyle w:val="fontstyle01"/>
          <w:rFonts w:ascii="Arial" w:hAnsi="Arial" w:cs="Arial"/>
        </w:rPr>
      </w:pPr>
      <w:r w:rsidRPr="00007910">
        <w:rPr>
          <w:rStyle w:val="fontstyle01"/>
          <w:rFonts w:ascii="Arial" w:hAnsi="Arial" w:cs="Arial"/>
        </w:rPr>
        <w:t>Market Engagement Strategies</w:t>
      </w:r>
    </w:p>
    <w:p w:rsidRPr="00007910" w:rsidR="005373F3" w:rsidP="005373F3" w:rsidRDefault="006D173B" w14:paraId="73386A80" w14:textId="77777777">
      <w:pPr>
        <w:pStyle w:val="ListParagraph"/>
        <w:numPr>
          <w:ilvl w:val="0"/>
          <w:numId w:val="38"/>
        </w:numPr>
        <w:ind w:hanging="720"/>
        <w:rPr>
          <w:rStyle w:val="fontstyle01"/>
          <w:rFonts w:ascii="Arial" w:hAnsi="Arial" w:cs="Arial"/>
        </w:rPr>
      </w:pPr>
      <w:r w:rsidRPr="00007910">
        <w:rPr>
          <w:rStyle w:val="fontstyle01"/>
          <w:rFonts w:ascii="Arial" w:hAnsi="Arial" w:cs="Arial"/>
        </w:rPr>
        <w:t>Equal Playing Field for Ratepayers to Keep Costs Down</w:t>
      </w:r>
    </w:p>
    <w:p w:rsidRPr="00007910" w:rsidR="006D173B" w:rsidP="005373F3" w:rsidRDefault="006D173B" w14:paraId="6AE56580" w14:textId="6B63EAED">
      <w:pPr>
        <w:pStyle w:val="ListParagraph"/>
        <w:numPr>
          <w:ilvl w:val="0"/>
          <w:numId w:val="38"/>
        </w:numPr>
        <w:ind w:hanging="720"/>
        <w:rPr>
          <w:rStyle w:val="fontstyle01"/>
          <w:rFonts w:ascii="Arial" w:hAnsi="Arial" w:cs="Arial"/>
        </w:rPr>
      </w:pPr>
      <w:r w:rsidRPr="00007910">
        <w:rPr>
          <w:rStyle w:val="fontstyle01"/>
          <w:rFonts w:ascii="Arial" w:hAnsi="Arial" w:cs="Arial"/>
        </w:rPr>
        <w:t>Participation of NWA Resources in Other Programs and Markets</w:t>
      </w:r>
    </w:p>
    <w:p w:rsidRPr="00007910" w:rsidR="00AD7952" w:rsidP="00AD7952" w:rsidRDefault="00AD7952" w14:paraId="549239F2" w14:textId="3BB4409F">
      <w:pPr>
        <w:jc w:val="both"/>
        <w:rPr>
          <w:rFonts w:ascii="Arial" w:hAnsi="Arial" w:cs="Arial"/>
          <w:sz w:val="24"/>
          <w:szCs w:val="24"/>
        </w:rPr>
      </w:pPr>
      <w:r w:rsidRPr="00007910">
        <w:rPr>
          <w:rFonts w:ascii="Arial" w:hAnsi="Arial" w:cs="Arial"/>
          <w:sz w:val="24"/>
          <w:szCs w:val="24"/>
        </w:rPr>
        <w:t>The e</w:t>
      </w:r>
      <w:r w:rsidRPr="00007910" w:rsidR="0051624B">
        <w:rPr>
          <w:rFonts w:ascii="Arial" w:hAnsi="Arial" w:cs="Arial"/>
          <w:sz w:val="24"/>
          <w:szCs w:val="24"/>
        </w:rPr>
        <w:t xml:space="preserve">lements of the NWA program design </w:t>
      </w:r>
      <w:r w:rsidRPr="00007910" w:rsidR="00605558">
        <w:rPr>
          <w:rFonts w:ascii="Arial" w:hAnsi="Arial" w:cs="Arial"/>
          <w:sz w:val="24"/>
          <w:szCs w:val="24"/>
        </w:rPr>
        <w:t xml:space="preserve">outlined </w:t>
      </w:r>
      <w:r w:rsidRPr="00007910">
        <w:rPr>
          <w:rFonts w:ascii="Arial" w:hAnsi="Arial" w:cs="Arial"/>
          <w:sz w:val="24"/>
          <w:szCs w:val="24"/>
        </w:rPr>
        <w:t>above</w:t>
      </w:r>
      <w:r w:rsidRPr="00007910" w:rsidR="00605558">
        <w:rPr>
          <w:rFonts w:ascii="Arial" w:hAnsi="Arial" w:cs="Arial"/>
          <w:sz w:val="24"/>
          <w:szCs w:val="24"/>
        </w:rPr>
        <w:t xml:space="preserve"> will be developed more fully by the Third-Party </w:t>
      </w:r>
      <w:r w:rsidRPr="00007910" w:rsidR="003C5688">
        <w:rPr>
          <w:rFonts w:ascii="Arial" w:hAnsi="Arial" w:cs="Arial"/>
          <w:sz w:val="24"/>
          <w:szCs w:val="24"/>
        </w:rPr>
        <w:t>P</w:t>
      </w:r>
      <w:r w:rsidRPr="00007910" w:rsidR="00605558">
        <w:rPr>
          <w:rFonts w:ascii="Arial" w:hAnsi="Arial" w:cs="Arial"/>
          <w:sz w:val="24"/>
          <w:szCs w:val="24"/>
        </w:rPr>
        <w:t xml:space="preserve">rogram Administrator </w:t>
      </w:r>
      <w:r w:rsidRPr="00A75E2F" w:rsidR="003C5688">
        <w:rPr>
          <w:rFonts w:ascii="Arial" w:hAnsi="Arial" w:cs="Arial"/>
          <w:sz w:val="24"/>
          <w:szCs w:val="24"/>
        </w:rPr>
        <w:t xml:space="preserve">(Third-Party Administrator) and </w:t>
      </w:r>
      <w:r w:rsidRPr="00A75E2F" w:rsidR="0051624B">
        <w:rPr>
          <w:rFonts w:ascii="Arial" w:hAnsi="Arial" w:cs="Arial"/>
          <w:sz w:val="24"/>
          <w:szCs w:val="24"/>
        </w:rPr>
        <w:t xml:space="preserve">will require additional </w:t>
      </w:r>
      <w:r w:rsidRPr="00A75E2F" w:rsidR="0000048F">
        <w:rPr>
          <w:rFonts w:ascii="Arial" w:hAnsi="Arial" w:cs="Arial"/>
          <w:sz w:val="24"/>
          <w:szCs w:val="24"/>
        </w:rPr>
        <w:t xml:space="preserve">stakeholder </w:t>
      </w:r>
      <w:r w:rsidRPr="00A75E2F" w:rsidR="00605558">
        <w:rPr>
          <w:rFonts w:ascii="Arial" w:hAnsi="Arial" w:cs="Arial"/>
          <w:sz w:val="24"/>
          <w:szCs w:val="24"/>
        </w:rPr>
        <w:t>engagement</w:t>
      </w:r>
      <w:r w:rsidRPr="00A75E2F" w:rsidR="0000048F">
        <w:rPr>
          <w:rFonts w:ascii="Arial" w:hAnsi="Arial" w:cs="Arial"/>
          <w:sz w:val="24"/>
          <w:szCs w:val="24"/>
        </w:rPr>
        <w:t xml:space="preserve">. </w:t>
      </w:r>
      <w:r w:rsidRPr="00007910" w:rsidR="003A6490">
        <w:rPr>
          <w:rFonts w:ascii="Arial" w:hAnsi="Arial" w:cs="Arial"/>
          <w:sz w:val="24"/>
          <w:szCs w:val="24"/>
        </w:rPr>
        <w:t>Upon issuance of the final Decision in the instant proceeding, t</w:t>
      </w:r>
      <w:r w:rsidRPr="00007910" w:rsidR="0000048F">
        <w:rPr>
          <w:rFonts w:ascii="Arial" w:hAnsi="Arial" w:cs="Arial"/>
          <w:sz w:val="24"/>
          <w:szCs w:val="24"/>
        </w:rPr>
        <w:t xml:space="preserve">he </w:t>
      </w:r>
      <w:r w:rsidRPr="00007910" w:rsidR="0051624B">
        <w:rPr>
          <w:rFonts w:ascii="Arial" w:hAnsi="Arial" w:cs="Arial"/>
          <w:sz w:val="24"/>
          <w:szCs w:val="24"/>
        </w:rPr>
        <w:t xml:space="preserve">Authority </w:t>
      </w:r>
      <w:r w:rsidRPr="00007910" w:rsidR="003A6490">
        <w:rPr>
          <w:rFonts w:ascii="Arial" w:hAnsi="Arial" w:cs="Arial"/>
          <w:sz w:val="24"/>
          <w:szCs w:val="24"/>
        </w:rPr>
        <w:t xml:space="preserve">will </w:t>
      </w:r>
      <w:r w:rsidRPr="00007910" w:rsidR="0000048F">
        <w:rPr>
          <w:rFonts w:ascii="Arial" w:hAnsi="Arial" w:cs="Arial"/>
          <w:sz w:val="24"/>
          <w:szCs w:val="24"/>
        </w:rPr>
        <w:t xml:space="preserve">request that </w:t>
      </w:r>
      <w:r w:rsidRPr="00A75E2F" w:rsidR="0000048F">
        <w:rPr>
          <w:rFonts w:ascii="Arial" w:hAnsi="Arial" w:cs="Arial"/>
          <w:sz w:val="24"/>
          <w:szCs w:val="24"/>
        </w:rPr>
        <w:t>t</w:t>
      </w:r>
      <w:r w:rsidRPr="00A75E2F" w:rsidR="29CC8BC2">
        <w:rPr>
          <w:rFonts w:ascii="Arial" w:hAnsi="Arial" w:cs="Arial"/>
          <w:sz w:val="24"/>
          <w:szCs w:val="24"/>
        </w:rPr>
        <w:t>he EDCs</w:t>
      </w:r>
      <w:r w:rsidRPr="00A75E2F" w:rsidR="00CF7C2C">
        <w:rPr>
          <w:rFonts w:ascii="Arial" w:hAnsi="Arial" w:cs="Arial"/>
          <w:sz w:val="24"/>
          <w:szCs w:val="24"/>
        </w:rPr>
        <w:t>,</w:t>
      </w:r>
      <w:r w:rsidRPr="00A75E2F" w:rsidR="29CC8BC2">
        <w:rPr>
          <w:rFonts w:ascii="Arial" w:hAnsi="Arial" w:cs="Arial"/>
          <w:sz w:val="24"/>
          <w:szCs w:val="24"/>
        </w:rPr>
        <w:t xml:space="preserve"> </w:t>
      </w:r>
      <w:r w:rsidRPr="00A75E2F" w:rsidR="0000048F">
        <w:rPr>
          <w:rFonts w:ascii="Arial" w:hAnsi="Arial" w:cs="Arial"/>
          <w:sz w:val="24"/>
          <w:szCs w:val="24"/>
        </w:rPr>
        <w:t xml:space="preserve">DEEP, OCC, </w:t>
      </w:r>
      <w:r w:rsidRPr="00A75E2F" w:rsidR="29CC8BC2">
        <w:rPr>
          <w:rFonts w:ascii="Arial" w:hAnsi="Arial" w:cs="Arial"/>
          <w:sz w:val="24"/>
          <w:szCs w:val="24"/>
        </w:rPr>
        <w:t>the Connecticut Green Bank (CGB</w:t>
      </w:r>
      <w:r w:rsidRPr="00A75E2F" w:rsidR="19BDB7C7">
        <w:rPr>
          <w:rFonts w:ascii="Arial" w:hAnsi="Arial" w:cs="Arial"/>
          <w:sz w:val="24"/>
          <w:szCs w:val="24"/>
        </w:rPr>
        <w:t>)</w:t>
      </w:r>
      <w:r w:rsidRPr="00A75E2F" w:rsidR="00CF7C2C">
        <w:rPr>
          <w:rFonts w:ascii="Arial" w:hAnsi="Arial" w:cs="Arial"/>
          <w:sz w:val="24"/>
          <w:szCs w:val="24"/>
        </w:rPr>
        <w:t>, and other stakeholders</w:t>
      </w:r>
      <w:r w:rsidRPr="00A75E2F" w:rsidR="0000048F">
        <w:rPr>
          <w:rFonts w:ascii="Arial" w:hAnsi="Arial" w:cs="Arial"/>
          <w:sz w:val="24"/>
          <w:szCs w:val="24"/>
        </w:rPr>
        <w:t xml:space="preserve"> work with </w:t>
      </w:r>
      <w:r w:rsidRPr="00A75E2F" w:rsidR="00BB42BA">
        <w:rPr>
          <w:rFonts w:ascii="Arial" w:hAnsi="Arial" w:cs="Arial"/>
          <w:sz w:val="24"/>
          <w:szCs w:val="24"/>
        </w:rPr>
        <w:t xml:space="preserve">the </w:t>
      </w:r>
      <w:r w:rsidRPr="00A75E2F" w:rsidR="2FDFC99B">
        <w:rPr>
          <w:rFonts w:ascii="Arial" w:hAnsi="Arial" w:cs="Arial"/>
          <w:sz w:val="24"/>
          <w:szCs w:val="24"/>
        </w:rPr>
        <w:t>Third-Party Administrator to</w:t>
      </w:r>
      <w:r w:rsidRPr="00A75E2F" w:rsidR="29CC8BC2">
        <w:rPr>
          <w:rFonts w:ascii="Arial" w:hAnsi="Arial" w:cs="Arial"/>
          <w:sz w:val="24"/>
          <w:szCs w:val="24"/>
        </w:rPr>
        <w:t xml:space="preserve"> develop, for the Authority’s review and approval, the appropriate program documents and additional program rules </w:t>
      </w:r>
      <w:r w:rsidRPr="00A75E2F" w:rsidR="00A141DB">
        <w:rPr>
          <w:rFonts w:ascii="Arial" w:hAnsi="Arial" w:cs="Arial"/>
          <w:sz w:val="24"/>
          <w:szCs w:val="24"/>
        </w:rPr>
        <w:t xml:space="preserve">necessary to effectively implement the final version of this NWA Solutions Program design (Program Design Documents) </w:t>
      </w:r>
      <w:r w:rsidRPr="00007910" w:rsidR="002516D6">
        <w:rPr>
          <w:rFonts w:ascii="Arial" w:hAnsi="Arial" w:cs="Arial"/>
          <w:sz w:val="24"/>
          <w:szCs w:val="24"/>
        </w:rPr>
        <w:t>outlined in the Straw Proposal</w:t>
      </w:r>
      <w:r w:rsidRPr="00007910" w:rsidR="003C5688">
        <w:rPr>
          <w:rFonts w:ascii="Arial" w:hAnsi="Arial" w:cs="Arial"/>
          <w:sz w:val="24"/>
          <w:szCs w:val="24"/>
        </w:rPr>
        <w:t>.</w:t>
      </w:r>
      <w:r w:rsidRPr="00007910" w:rsidR="29CC8BC2">
        <w:rPr>
          <w:rFonts w:ascii="Arial" w:hAnsi="Arial" w:cs="Arial"/>
          <w:sz w:val="24"/>
          <w:szCs w:val="24"/>
        </w:rPr>
        <w:t xml:space="preserve"> </w:t>
      </w:r>
    </w:p>
    <w:p w:rsidRPr="00007910" w:rsidR="00AD7952" w:rsidP="00AD7952" w:rsidRDefault="00AD7952" w14:paraId="7E427937" w14:textId="1787ECC0">
      <w:pPr>
        <w:jc w:val="both"/>
        <w:rPr>
          <w:rFonts w:ascii="Arial" w:hAnsi="Arial" w:cs="Arial"/>
          <w:sz w:val="24"/>
          <w:szCs w:val="24"/>
        </w:rPr>
      </w:pPr>
      <w:r w:rsidRPr="00007910">
        <w:rPr>
          <w:rFonts w:ascii="Arial" w:hAnsi="Arial" w:cs="Arial"/>
          <w:sz w:val="24"/>
          <w:szCs w:val="24"/>
        </w:rPr>
        <w:t>The Straw Proposal also includes a discussion of utility cost recovery and utility incentives.</w:t>
      </w:r>
    </w:p>
    <w:p w:rsidR="007F6D74" w:rsidRDefault="007F6D74" w14:paraId="764A38E9" w14:textId="6B54E328">
      <w:pPr>
        <w:rPr>
          <w:rFonts w:ascii="Arial" w:hAnsi="Arial" w:cs="Arial"/>
          <w:b/>
          <w:bCs/>
          <w:color w:val="000000"/>
          <w:sz w:val="24"/>
          <w:szCs w:val="24"/>
        </w:rPr>
      </w:pPr>
      <w:r>
        <w:rPr>
          <w:rFonts w:ascii="Arial" w:hAnsi="Arial" w:cs="Arial"/>
          <w:b/>
          <w:bCs/>
          <w:color w:val="000000"/>
          <w:sz w:val="24"/>
          <w:szCs w:val="24"/>
        </w:rPr>
        <w:br w:type="page"/>
      </w:r>
    </w:p>
    <w:p w:rsidRPr="00007910" w:rsidR="00B64E8B" w:rsidP="006F3E92" w:rsidRDefault="006F3E92" w14:paraId="07F0B886" w14:textId="3770A288">
      <w:pPr>
        <w:pStyle w:val="ListParagraph"/>
        <w:numPr>
          <w:ilvl w:val="0"/>
          <w:numId w:val="4"/>
        </w:numPr>
        <w:rPr>
          <w:rStyle w:val="fontstyle01"/>
          <w:rFonts w:ascii="Arial" w:hAnsi="Arial" w:cs="Arial"/>
        </w:rPr>
      </w:pPr>
      <w:r w:rsidRPr="00007910">
        <w:rPr>
          <w:rStyle w:val="fontstyle01"/>
          <w:rFonts w:ascii="Arial" w:hAnsi="Arial" w:cs="Arial"/>
          <w:b/>
          <w:bCs/>
        </w:rPr>
        <w:lastRenderedPageBreak/>
        <w:t>GOALS AND OBJECTIVES IN ESTABLISHING A NON-WIRES ALTERNATIVE</w:t>
      </w:r>
      <w:r w:rsidRPr="00007910" w:rsidR="00635EE8">
        <w:rPr>
          <w:rStyle w:val="fontstyle01"/>
          <w:rFonts w:ascii="Arial" w:hAnsi="Arial" w:cs="Arial"/>
          <w:b/>
          <w:bCs/>
        </w:rPr>
        <w:t>S</w:t>
      </w:r>
      <w:r w:rsidRPr="00007910">
        <w:rPr>
          <w:rStyle w:val="fontstyle01"/>
          <w:rFonts w:ascii="Arial" w:hAnsi="Arial" w:cs="Arial"/>
          <w:b/>
          <w:bCs/>
        </w:rPr>
        <w:t xml:space="preserve"> (NWA) TO TRADITIONAL WIRES AND SUBSTATIONS </w:t>
      </w:r>
      <w:r w:rsidRPr="00007910" w:rsidR="00635EE8">
        <w:rPr>
          <w:rStyle w:val="fontstyle01"/>
          <w:rFonts w:ascii="Arial" w:hAnsi="Arial" w:cs="Arial"/>
          <w:b/>
          <w:bCs/>
        </w:rPr>
        <w:t xml:space="preserve">INVESTMENT </w:t>
      </w:r>
      <w:r w:rsidRPr="00007910">
        <w:rPr>
          <w:rStyle w:val="fontstyle01"/>
          <w:rFonts w:ascii="Arial" w:hAnsi="Arial" w:cs="Arial"/>
          <w:b/>
          <w:bCs/>
        </w:rPr>
        <w:t>PROCESS</w:t>
      </w:r>
      <w:r w:rsidRPr="00007910" w:rsidR="00F0374A">
        <w:rPr>
          <w:rStyle w:val="fontstyle01"/>
          <w:rFonts w:ascii="Arial" w:hAnsi="Arial" w:cs="Arial"/>
          <w:b/>
          <w:bCs/>
        </w:rPr>
        <w:br/>
      </w:r>
    </w:p>
    <w:p w:rsidRPr="00007910" w:rsidR="006F3E92" w:rsidP="00680574" w:rsidRDefault="006F3E92" w14:paraId="5A4E046D" w14:textId="7EA8468C">
      <w:pPr>
        <w:pStyle w:val="ListParagraph"/>
        <w:numPr>
          <w:ilvl w:val="0"/>
          <w:numId w:val="6"/>
        </w:numPr>
        <w:rPr>
          <w:rStyle w:val="fontstyle01"/>
          <w:rFonts w:ascii="Arial" w:hAnsi="Arial" w:cs="Arial"/>
          <w:b/>
          <w:bCs/>
        </w:rPr>
      </w:pPr>
      <w:r w:rsidRPr="00007910">
        <w:rPr>
          <w:rStyle w:val="fontstyle01"/>
          <w:rFonts w:ascii="Arial" w:hAnsi="Arial" w:cs="Arial"/>
          <w:b/>
          <w:bCs/>
        </w:rPr>
        <w:t>NWA Solutions are now feasible and may be less expensive for ratepayers and more reliable for customers</w:t>
      </w:r>
    </w:p>
    <w:p w:rsidRPr="00007910" w:rsidR="00D4100A" w:rsidP="00D4100A" w:rsidRDefault="00D4100A" w14:paraId="6C2C8D2C" w14:textId="0D1FEDFB">
      <w:pPr>
        <w:pStyle w:val="ListParagraph"/>
        <w:ind w:left="0" w:firstLine="720"/>
        <w:jc w:val="both"/>
        <w:rPr>
          <w:rStyle w:val="fontstyle01"/>
          <w:rFonts w:ascii="Arial" w:hAnsi="Arial" w:cs="Arial"/>
        </w:rPr>
      </w:pPr>
    </w:p>
    <w:p w:rsidRPr="00007910" w:rsidR="00851E9E" w:rsidP="00A75E2F" w:rsidRDefault="00EE24AF" w14:paraId="4C98466C" w14:textId="01183739">
      <w:pPr>
        <w:pStyle w:val="ListParagraph"/>
        <w:ind w:left="0"/>
        <w:jc w:val="both"/>
        <w:rPr>
          <w:rStyle w:val="fontstyle01"/>
          <w:rFonts w:ascii="Arial" w:hAnsi="Arial" w:cs="Arial"/>
        </w:rPr>
      </w:pPr>
      <w:r w:rsidRPr="00007910">
        <w:rPr>
          <w:rStyle w:val="fontstyle01"/>
          <w:rFonts w:ascii="Arial" w:hAnsi="Arial" w:cs="Arial"/>
        </w:rPr>
        <w:t xml:space="preserve">Unlike </w:t>
      </w:r>
      <w:r w:rsidRPr="00007910" w:rsidR="00F750F5">
        <w:rPr>
          <w:rStyle w:val="fontstyle01"/>
          <w:rFonts w:ascii="Arial" w:hAnsi="Arial" w:cs="Arial"/>
        </w:rPr>
        <w:t xml:space="preserve">the </w:t>
      </w:r>
      <w:r w:rsidRPr="00007910">
        <w:rPr>
          <w:rStyle w:val="fontstyle01"/>
          <w:rFonts w:ascii="Arial" w:hAnsi="Arial" w:cs="Arial"/>
        </w:rPr>
        <w:t>2</w:t>
      </w:r>
      <w:r w:rsidRPr="00007910" w:rsidR="009753E4">
        <w:rPr>
          <w:rStyle w:val="fontstyle01"/>
          <w:rFonts w:ascii="Arial" w:hAnsi="Arial" w:cs="Arial"/>
        </w:rPr>
        <w:t>0</w:t>
      </w:r>
      <w:r w:rsidRPr="00A75E2F" w:rsidR="009753E4">
        <w:rPr>
          <w:rStyle w:val="fontstyle01"/>
          <w:rFonts w:ascii="Arial" w:hAnsi="Arial" w:cs="Arial"/>
          <w:vertAlign w:val="superscript"/>
        </w:rPr>
        <w:t>th</w:t>
      </w:r>
      <w:r w:rsidRPr="00007910" w:rsidR="009753E4">
        <w:rPr>
          <w:rStyle w:val="fontstyle01"/>
          <w:rFonts w:ascii="Arial" w:hAnsi="Arial" w:cs="Arial"/>
        </w:rPr>
        <w:t xml:space="preserve"> century,</w:t>
      </w:r>
      <w:r w:rsidRPr="00007910" w:rsidR="00851E9E">
        <w:rPr>
          <w:rStyle w:val="fontstyle01"/>
          <w:rFonts w:ascii="Arial" w:hAnsi="Arial" w:cs="Arial"/>
        </w:rPr>
        <w:t xml:space="preserve"> </w:t>
      </w:r>
      <w:r w:rsidRPr="00007910" w:rsidR="00770164">
        <w:rPr>
          <w:rStyle w:val="fontstyle01"/>
          <w:rFonts w:ascii="Arial" w:hAnsi="Arial" w:cs="Arial"/>
        </w:rPr>
        <w:t>needs on the transmission and distribution system</w:t>
      </w:r>
      <w:r w:rsidRPr="00007910" w:rsidR="00DB6640">
        <w:rPr>
          <w:rStyle w:val="fontstyle01"/>
          <w:rFonts w:ascii="Arial" w:hAnsi="Arial" w:cs="Arial"/>
        </w:rPr>
        <w:t>, e.g., a</w:t>
      </w:r>
      <w:r w:rsidRPr="00007910" w:rsidR="00851E9E">
        <w:rPr>
          <w:rStyle w:val="fontstyle01"/>
          <w:rFonts w:ascii="Arial" w:hAnsi="Arial" w:cs="Arial"/>
        </w:rPr>
        <w:t xml:space="preserve"> new distribution line or </w:t>
      </w:r>
      <w:r w:rsidRPr="00007910" w:rsidR="00DB6640">
        <w:rPr>
          <w:rStyle w:val="fontstyle01"/>
          <w:rFonts w:ascii="Arial" w:hAnsi="Arial" w:cs="Arial"/>
        </w:rPr>
        <w:t>a</w:t>
      </w:r>
      <w:r w:rsidRPr="00007910" w:rsidR="00851E9E">
        <w:rPr>
          <w:rStyle w:val="fontstyle01"/>
          <w:rFonts w:ascii="Arial" w:hAnsi="Arial" w:cs="Arial"/>
        </w:rPr>
        <w:t xml:space="preserve"> </w:t>
      </w:r>
      <w:r w:rsidRPr="00007910" w:rsidR="00DB6640">
        <w:rPr>
          <w:rStyle w:val="fontstyle01"/>
          <w:rFonts w:ascii="Arial" w:hAnsi="Arial" w:cs="Arial"/>
        </w:rPr>
        <w:t xml:space="preserve">capacity </w:t>
      </w:r>
      <w:r w:rsidRPr="00007910" w:rsidR="00851E9E">
        <w:rPr>
          <w:rStyle w:val="fontstyle01"/>
          <w:rFonts w:ascii="Arial" w:hAnsi="Arial" w:cs="Arial"/>
        </w:rPr>
        <w:t>upgrade</w:t>
      </w:r>
      <w:r w:rsidRPr="00007910" w:rsidR="00DB6640">
        <w:rPr>
          <w:rStyle w:val="fontstyle01"/>
          <w:rFonts w:ascii="Arial" w:hAnsi="Arial" w:cs="Arial"/>
        </w:rPr>
        <w:t>,</w:t>
      </w:r>
      <w:r w:rsidRPr="00007910" w:rsidR="00851E9E">
        <w:rPr>
          <w:rStyle w:val="fontstyle01"/>
          <w:rFonts w:ascii="Arial" w:hAnsi="Arial" w:cs="Arial"/>
        </w:rPr>
        <w:t xml:space="preserve"> may </w:t>
      </w:r>
      <w:r w:rsidRPr="00007910" w:rsidR="00F750F5">
        <w:rPr>
          <w:rStyle w:val="fontstyle01"/>
          <w:rFonts w:ascii="Arial" w:hAnsi="Arial" w:cs="Arial"/>
        </w:rPr>
        <w:t xml:space="preserve">now </w:t>
      </w:r>
      <w:r w:rsidRPr="00007910" w:rsidR="00851E9E">
        <w:rPr>
          <w:rStyle w:val="fontstyle01"/>
          <w:rFonts w:ascii="Arial" w:hAnsi="Arial" w:cs="Arial"/>
        </w:rPr>
        <w:t>be addressed through a solution</w:t>
      </w:r>
      <w:r w:rsidRPr="00007910">
        <w:rPr>
          <w:rStyle w:val="fontstyle01"/>
          <w:rFonts w:ascii="Arial" w:hAnsi="Arial" w:cs="Arial"/>
        </w:rPr>
        <w:t xml:space="preserve"> such as a battery or a set of passive energy efficiency investments</w:t>
      </w:r>
      <w:r w:rsidRPr="00007910" w:rsidR="00851E9E">
        <w:rPr>
          <w:rStyle w:val="fontstyle01"/>
          <w:rFonts w:ascii="Arial" w:hAnsi="Arial" w:cs="Arial"/>
        </w:rPr>
        <w:t>.</w:t>
      </w:r>
      <w:r w:rsidRPr="00007910" w:rsidR="469C6E73">
        <w:rPr>
          <w:rStyle w:val="fontstyle01"/>
          <w:rFonts w:ascii="Arial" w:hAnsi="Arial" w:cs="Arial"/>
        </w:rPr>
        <w:t xml:space="preserve"> Traditional distribution system investment </w:t>
      </w:r>
      <w:r w:rsidRPr="00007910" w:rsidR="13AE18AC">
        <w:rPr>
          <w:rStyle w:val="fontstyle01"/>
          <w:rFonts w:ascii="Arial" w:hAnsi="Arial" w:cs="Arial"/>
        </w:rPr>
        <w:t xml:space="preserve">such as </w:t>
      </w:r>
      <w:r w:rsidRPr="00007910" w:rsidR="6CD5ECEA">
        <w:rPr>
          <w:rStyle w:val="fontstyle01"/>
          <w:rFonts w:ascii="Arial" w:hAnsi="Arial" w:cs="Arial"/>
        </w:rPr>
        <w:t>expanding</w:t>
      </w:r>
      <w:r w:rsidRPr="00007910" w:rsidR="13AE18AC">
        <w:rPr>
          <w:rStyle w:val="fontstyle01"/>
          <w:rFonts w:ascii="Arial" w:hAnsi="Arial" w:cs="Arial"/>
        </w:rPr>
        <w:t xml:space="preserve"> substations</w:t>
      </w:r>
      <w:r w:rsidRPr="00007910" w:rsidR="0EECC43D">
        <w:rPr>
          <w:rStyle w:val="fontstyle01"/>
          <w:rFonts w:ascii="Arial" w:hAnsi="Arial" w:cs="Arial"/>
        </w:rPr>
        <w:t>,</w:t>
      </w:r>
      <w:r w:rsidRPr="00007910" w:rsidR="13AE18AC">
        <w:rPr>
          <w:rStyle w:val="fontstyle01"/>
          <w:rFonts w:ascii="Arial" w:hAnsi="Arial" w:cs="Arial"/>
        </w:rPr>
        <w:t xml:space="preserve"> </w:t>
      </w:r>
      <w:r w:rsidRPr="00007910" w:rsidR="007A5976">
        <w:rPr>
          <w:rStyle w:val="fontstyle01"/>
          <w:rFonts w:ascii="Arial" w:hAnsi="Arial" w:cs="Arial"/>
        </w:rPr>
        <w:t xml:space="preserve">upgrading and replacing </w:t>
      </w:r>
      <w:r w:rsidRPr="00007910" w:rsidR="13AE18AC">
        <w:rPr>
          <w:rStyle w:val="fontstyle01"/>
          <w:rFonts w:ascii="Arial" w:hAnsi="Arial" w:cs="Arial"/>
        </w:rPr>
        <w:t>transformers</w:t>
      </w:r>
      <w:r w:rsidRPr="00007910" w:rsidR="007A5976">
        <w:rPr>
          <w:rStyle w:val="fontstyle01"/>
          <w:rFonts w:ascii="Arial" w:hAnsi="Arial" w:cs="Arial"/>
        </w:rPr>
        <w:t>,</w:t>
      </w:r>
      <w:r w:rsidRPr="00007910" w:rsidR="13AE18AC">
        <w:rPr>
          <w:rStyle w:val="fontstyle01"/>
          <w:rFonts w:ascii="Arial" w:hAnsi="Arial" w:cs="Arial"/>
        </w:rPr>
        <w:t xml:space="preserve"> </w:t>
      </w:r>
      <w:r w:rsidRPr="00007910" w:rsidR="7A88317B">
        <w:rPr>
          <w:rStyle w:val="fontstyle01"/>
          <w:rFonts w:ascii="Arial" w:hAnsi="Arial" w:cs="Arial"/>
        </w:rPr>
        <w:t xml:space="preserve">and other infrastructure </w:t>
      </w:r>
      <w:r w:rsidRPr="00007910" w:rsidR="13AE18AC">
        <w:rPr>
          <w:rStyle w:val="fontstyle01"/>
          <w:rFonts w:ascii="Arial" w:hAnsi="Arial" w:cs="Arial"/>
        </w:rPr>
        <w:t xml:space="preserve">can now </w:t>
      </w:r>
      <w:r w:rsidRPr="00007910" w:rsidR="5252FDDD">
        <w:rPr>
          <w:rStyle w:val="fontstyle01"/>
          <w:rFonts w:ascii="Arial" w:hAnsi="Arial" w:cs="Arial"/>
        </w:rPr>
        <w:t xml:space="preserve">be accomplished in some cases by non-traditional “non-wires alternatives” (NWAs) </w:t>
      </w:r>
      <w:r w:rsidRPr="00007910" w:rsidR="13B5490A">
        <w:rPr>
          <w:rStyle w:val="fontstyle01"/>
          <w:rFonts w:ascii="Arial" w:hAnsi="Arial" w:cs="Arial"/>
        </w:rPr>
        <w:t>including</w:t>
      </w:r>
      <w:r w:rsidRPr="00007910" w:rsidR="5252FDDD">
        <w:rPr>
          <w:rStyle w:val="fontstyle01"/>
          <w:rFonts w:ascii="Arial" w:hAnsi="Arial" w:cs="Arial"/>
        </w:rPr>
        <w:t xml:space="preserve"> </w:t>
      </w:r>
      <w:r w:rsidRPr="00007910" w:rsidR="009C6046">
        <w:rPr>
          <w:rStyle w:val="fontstyle01"/>
          <w:rFonts w:ascii="Arial" w:hAnsi="Arial" w:cs="Arial"/>
        </w:rPr>
        <w:t xml:space="preserve">both </w:t>
      </w:r>
      <w:r w:rsidRPr="00007910" w:rsidR="5252FDDD">
        <w:rPr>
          <w:rStyle w:val="fontstyle01"/>
          <w:rFonts w:ascii="Arial" w:hAnsi="Arial" w:cs="Arial"/>
        </w:rPr>
        <w:t>distributed energy re</w:t>
      </w:r>
      <w:r w:rsidRPr="00007910" w:rsidR="7FCDB80C">
        <w:rPr>
          <w:rStyle w:val="fontstyle01"/>
          <w:rFonts w:ascii="Arial" w:hAnsi="Arial" w:cs="Arial"/>
        </w:rPr>
        <w:t>sources</w:t>
      </w:r>
      <w:r w:rsidRPr="00007910" w:rsidR="47D9383C">
        <w:rPr>
          <w:rStyle w:val="fontstyle01"/>
          <w:rFonts w:ascii="Arial" w:hAnsi="Arial" w:cs="Arial"/>
        </w:rPr>
        <w:t xml:space="preserve"> and grid-scale resources</w:t>
      </w:r>
      <w:r w:rsidRPr="00007910" w:rsidR="009C6046">
        <w:rPr>
          <w:rStyle w:val="fontstyle01"/>
          <w:rFonts w:ascii="Arial" w:hAnsi="Arial" w:cs="Arial"/>
        </w:rPr>
        <w:t xml:space="preserve"> and includ</w:t>
      </w:r>
      <w:r w:rsidRPr="00007910" w:rsidR="007A5976">
        <w:rPr>
          <w:rStyle w:val="fontstyle01"/>
          <w:rFonts w:ascii="Arial" w:hAnsi="Arial" w:cs="Arial"/>
        </w:rPr>
        <w:t>ing</w:t>
      </w:r>
      <w:r w:rsidRPr="00007910" w:rsidR="009C6046">
        <w:rPr>
          <w:rStyle w:val="fontstyle01"/>
          <w:rFonts w:ascii="Arial" w:hAnsi="Arial" w:cs="Arial"/>
        </w:rPr>
        <w:t xml:space="preserve"> technology applications</w:t>
      </w:r>
      <w:r w:rsidRPr="00007910" w:rsidR="47D9383C">
        <w:rPr>
          <w:rStyle w:val="fontstyle01"/>
          <w:rFonts w:ascii="Arial" w:hAnsi="Arial" w:cs="Arial"/>
        </w:rPr>
        <w:t xml:space="preserve"> such as</w:t>
      </w:r>
      <w:r w:rsidRPr="00007910" w:rsidR="7FCDB80C">
        <w:rPr>
          <w:rStyle w:val="fontstyle01"/>
          <w:rFonts w:ascii="Arial" w:hAnsi="Arial" w:cs="Arial"/>
        </w:rPr>
        <w:t xml:space="preserve"> energy storage, demand response, </w:t>
      </w:r>
      <w:r w:rsidRPr="00007910" w:rsidR="009C6046">
        <w:rPr>
          <w:rStyle w:val="fontstyle01"/>
          <w:rFonts w:ascii="Arial" w:hAnsi="Arial" w:cs="Arial"/>
        </w:rPr>
        <w:t xml:space="preserve">and </w:t>
      </w:r>
      <w:r w:rsidRPr="00007910" w:rsidR="7FCDB80C">
        <w:rPr>
          <w:rStyle w:val="fontstyle01"/>
          <w:rFonts w:ascii="Arial" w:hAnsi="Arial" w:cs="Arial"/>
        </w:rPr>
        <w:t xml:space="preserve">controls systems </w:t>
      </w:r>
      <w:r w:rsidRPr="00007910" w:rsidR="70CE87C9">
        <w:rPr>
          <w:rStyle w:val="fontstyle01"/>
          <w:rFonts w:ascii="Arial" w:hAnsi="Arial" w:cs="Arial"/>
        </w:rPr>
        <w:t>enabling more</w:t>
      </w:r>
      <w:r w:rsidRPr="00007910" w:rsidR="7FCDB80C">
        <w:rPr>
          <w:rStyle w:val="fontstyle01"/>
          <w:rFonts w:ascii="Arial" w:hAnsi="Arial" w:cs="Arial"/>
        </w:rPr>
        <w:t xml:space="preserve"> </w:t>
      </w:r>
      <w:r w:rsidRPr="00007910" w:rsidR="007A5976">
        <w:rPr>
          <w:rStyle w:val="fontstyle01"/>
          <w:rFonts w:ascii="Arial" w:hAnsi="Arial" w:cs="Arial"/>
        </w:rPr>
        <w:t>tailored</w:t>
      </w:r>
      <w:r w:rsidRPr="00007910" w:rsidR="22A3E453">
        <w:rPr>
          <w:rStyle w:val="fontstyle01"/>
          <w:rFonts w:ascii="Arial" w:hAnsi="Arial" w:cs="Arial"/>
        </w:rPr>
        <w:t xml:space="preserve"> and less expensive</w:t>
      </w:r>
      <w:r w:rsidRPr="00007910" w:rsidR="7FCDB80C">
        <w:rPr>
          <w:rStyle w:val="fontstyle01"/>
          <w:rFonts w:ascii="Arial" w:hAnsi="Arial" w:cs="Arial"/>
        </w:rPr>
        <w:t xml:space="preserve"> grid investments.</w:t>
      </w:r>
      <w:r w:rsidRPr="00007910" w:rsidR="00851E9E">
        <w:rPr>
          <w:rStyle w:val="fontstyle01"/>
          <w:rFonts w:ascii="Arial" w:hAnsi="Arial" w:cs="Arial"/>
        </w:rPr>
        <w:t xml:space="preserve"> Compared to traditional distribution or substation plant addition</w:t>
      </w:r>
      <w:r w:rsidRPr="00007910" w:rsidR="46FCFE03">
        <w:rPr>
          <w:rStyle w:val="fontstyle01"/>
          <w:rFonts w:ascii="Arial" w:hAnsi="Arial" w:cs="Arial"/>
        </w:rPr>
        <w:t>s</w:t>
      </w:r>
      <w:r w:rsidRPr="00007910" w:rsidR="00851E9E">
        <w:rPr>
          <w:rStyle w:val="fontstyle01"/>
          <w:rFonts w:ascii="Arial" w:hAnsi="Arial" w:cs="Arial"/>
        </w:rPr>
        <w:t>,</w:t>
      </w:r>
      <w:r w:rsidRPr="00007910">
        <w:rPr>
          <w:rStyle w:val="fontstyle01"/>
          <w:rFonts w:ascii="Arial" w:hAnsi="Arial" w:cs="Arial"/>
        </w:rPr>
        <w:t xml:space="preserve"> </w:t>
      </w:r>
      <w:proofErr w:type="gramStart"/>
      <w:r w:rsidRPr="00007910" w:rsidR="00E63218">
        <w:rPr>
          <w:rStyle w:val="fontstyle01"/>
          <w:rFonts w:ascii="Arial" w:hAnsi="Arial" w:cs="Arial"/>
        </w:rPr>
        <w:t>a</w:t>
      </w:r>
      <w:proofErr w:type="gramEnd"/>
      <w:r w:rsidRPr="00007910" w:rsidR="00E63218">
        <w:rPr>
          <w:rStyle w:val="fontstyle01"/>
          <w:rFonts w:ascii="Arial" w:hAnsi="Arial" w:cs="Arial"/>
        </w:rPr>
        <w:t xml:space="preserve"> </w:t>
      </w:r>
      <w:r w:rsidRPr="00007910">
        <w:rPr>
          <w:rStyle w:val="fontstyle01"/>
          <w:rFonts w:ascii="Arial" w:hAnsi="Arial" w:cs="Arial"/>
        </w:rPr>
        <w:t xml:space="preserve">NWA </w:t>
      </w:r>
      <w:r w:rsidRPr="00007910" w:rsidR="00851E9E">
        <w:rPr>
          <w:rStyle w:val="fontstyle01"/>
          <w:rFonts w:ascii="Arial" w:hAnsi="Arial" w:cs="Arial"/>
        </w:rPr>
        <w:t xml:space="preserve">solution </w:t>
      </w:r>
      <w:r w:rsidRPr="00007910" w:rsidR="00EC148F">
        <w:rPr>
          <w:rStyle w:val="fontstyle01"/>
          <w:rFonts w:ascii="Arial" w:hAnsi="Arial" w:cs="Arial"/>
        </w:rPr>
        <w:t xml:space="preserve">may </w:t>
      </w:r>
      <w:r w:rsidRPr="00007910" w:rsidR="00851E9E">
        <w:rPr>
          <w:rStyle w:val="fontstyle01"/>
          <w:rFonts w:ascii="Arial" w:hAnsi="Arial" w:cs="Arial"/>
        </w:rPr>
        <w:t>be less expensive</w:t>
      </w:r>
      <w:r w:rsidRPr="00007910" w:rsidR="00AB741D">
        <w:rPr>
          <w:rStyle w:val="fontstyle01"/>
          <w:rFonts w:ascii="Arial" w:hAnsi="Arial" w:cs="Arial"/>
        </w:rPr>
        <w:t>,</w:t>
      </w:r>
      <w:r w:rsidRPr="00007910" w:rsidR="00851E9E">
        <w:rPr>
          <w:rStyle w:val="fontstyle01"/>
          <w:rFonts w:ascii="Arial" w:hAnsi="Arial" w:cs="Arial"/>
        </w:rPr>
        <w:t xml:space="preserve"> more reliable, more resilient, more flexible </w:t>
      </w:r>
      <w:r w:rsidRPr="00007910">
        <w:rPr>
          <w:rStyle w:val="fontstyle01"/>
          <w:rFonts w:ascii="Arial" w:hAnsi="Arial" w:cs="Arial"/>
        </w:rPr>
        <w:t xml:space="preserve">-- </w:t>
      </w:r>
      <w:r w:rsidRPr="00007910" w:rsidR="00851E9E">
        <w:rPr>
          <w:rStyle w:val="fontstyle01"/>
          <w:rFonts w:ascii="Arial" w:hAnsi="Arial" w:cs="Arial"/>
        </w:rPr>
        <w:t xml:space="preserve">or all the above. Because the NWA solution might be </w:t>
      </w:r>
      <w:r w:rsidRPr="00007910">
        <w:rPr>
          <w:rStyle w:val="fontstyle01"/>
          <w:rFonts w:ascii="Arial" w:hAnsi="Arial" w:cs="Arial"/>
        </w:rPr>
        <w:t>less expensive</w:t>
      </w:r>
      <w:r w:rsidRPr="00007910" w:rsidR="00CB18E0">
        <w:rPr>
          <w:rStyle w:val="fontstyle01"/>
          <w:rFonts w:ascii="Arial" w:hAnsi="Arial" w:cs="Arial"/>
        </w:rPr>
        <w:t xml:space="preserve"> or have</w:t>
      </w:r>
      <w:r w:rsidRPr="00007910" w:rsidR="0041779E">
        <w:rPr>
          <w:rStyle w:val="fontstyle01"/>
          <w:rFonts w:ascii="Arial" w:hAnsi="Arial" w:cs="Arial"/>
        </w:rPr>
        <w:t xml:space="preserve"> significant</w:t>
      </w:r>
      <w:r w:rsidRPr="00007910" w:rsidR="00CB18E0">
        <w:rPr>
          <w:rStyle w:val="fontstyle01"/>
          <w:rFonts w:ascii="Arial" w:hAnsi="Arial" w:cs="Arial"/>
        </w:rPr>
        <w:t xml:space="preserve"> </w:t>
      </w:r>
      <w:r w:rsidRPr="00007910" w:rsidR="0041779E">
        <w:rPr>
          <w:rStyle w:val="fontstyle01"/>
          <w:rFonts w:ascii="Arial" w:hAnsi="Arial" w:cs="Arial"/>
        </w:rPr>
        <w:t>broader energy system benefits</w:t>
      </w:r>
      <w:r w:rsidRPr="00007910">
        <w:rPr>
          <w:rStyle w:val="fontstyle01"/>
          <w:rFonts w:ascii="Arial" w:hAnsi="Arial" w:cs="Arial"/>
        </w:rPr>
        <w:t xml:space="preserve">, it can save ratepayers money. Because </w:t>
      </w:r>
      <w:proofErr w:type="gramStart"/>
      <w:r w:rsidRPr="00007910" w:rsidR="00B54066">
        <w:rPr>
          <w:rStyle w:val="fontstyle01"/>
          <w:rFonts w:ascii="Arial" w:hAnsi="Arial" w:cs="Arial"/>
        </w:rPr>
        <w:t>a</w:t>
      </w:r>
      <w:proofErr w:type="gramEnd"/>
      <w:r w:rsidRPr="00007910">
        <w:rPr>
          <w:rStyle w:val="fontstyle01"/>
          <w:rFonts w:ascii="Arial" w:hAnsi="Arial" w:cs="Arial"/>
        </w:rPr>
        <w:t xml:space="preserve"> NWA solution might be more reliable, resilien</w:t>
      </w:r>
      <w:r w:rsidRPr="00007910" w:rsidR="00113C5C">
        <w:rPr>
          <w:rStyle w:val="fontstyle01"/>
          <w:rFonts w:ascii="Arial" w:hAnsi="Arial" w:cs="Arial"/>
        </w:rPr>
        <w:t>t</w:t>
      </w:r>
      <w:r w:rsidRPr="00007910">
        <w:rPr>
          <w:rStyle w:val="fontstyle01"/>
          <w:rFonts w:ascii="Arial" w:hAnsi="Arial" w:cs="Arial"/>
        </w:rPr>
        <w:t xml:space="preserve"> or flexible, it may offer great customer value.</w:t>
      </w:r>
      <w:r w:rsidRPr="00007910" w:rsidR="00D86A80">
        <w:rPr>
          <w:rStyle w:val="fontstyle01"/>
          <w:rFonts w:ascii="Arial" w:hAnsi="Arial" w:cs="Arial"/>
        </w:rPr>
        <w:t xml:space="preserve"> </w:t>
      </w:r>
    </w:p>
    <w:p w:rsidRPr="00007910" w:rsidR="00851E9E" w:rsidP="00A75E2F" w:rsidRDefault="00851E9E" w14:paraId="5ABF4F25" w14:textId="651381F1">
      <w:pPr>
        <w:pStyle w:val="ListParagraph"/>
        <w:ind w:left="0"/>
        <w:jc w:val="both"/>
        <w:rPr>
          <w:rStyle w:val="fontstyle01"/>
          <w:rFonts w:ascii="Arial" w:hAnsi="Arial" w:cs="Arial"/>
        </w:rPr>
      </w:pPr>
    </w:p>
    <w:p w:rsidRPr="00007910" w:rsidR="00F64CB7" w:rsidP="00A75E2F" w:rsidRDefault="525A2E3B" w14:paraId="621FB881" w14:textId="198073ED">
      <w:pPr>
        <w:pStyle w:val="ListParagraph"/>
        <w:ind w:left="0"/>
        <w:jc w:val="both"/>
        <w:rPr>
          <w:rStyle w:val="fontstyle01"/>
          <w:rFonts w:ascii="Arial" w:hAnsi="Arial" w:cs="Arial"/>
        </w:rPr>
      </w:pPr>
      <w:r w:rsidRPr="00007910">
        <w:rPr>
          <w:rStyle w:val="fontstyle01"/>
          <w:rFonts w:ascii="Arial" w:hAnsi="Arial" w:cs="Arial"/>
        </w:rPr>
        <w:t>Eversource has argued strongly for a distribution utility-driven approach</w:t>
      </w:r>
      <w:r w:rsidRPr="00007910" w:rsidR="5AF4B87F">
        <w:rPr>
          <w:rStyle w:val="fontstyle01"/>
          <w:rFonts w:ascii="Arial" w:hAnsi="Arial" w:cs="Arial"/>
        </w:rPr>
        <w:t xml:space="preserve"> of NWA consideration and planning</w:t>
      </w:r>
      <w:r w:rsidRPr="00007910">
        <w:rPr>
          <w:rStyle w:val="fontstyle01"/>
          <w:rFonts w:ascii="Arial" w:hAnsi="Arial" w:cs="Arial"/>
        </w:rPr>
        <w:t>.</w:t>
      </w:r>
      <w:r w:rsidRPr="00007910" w:rsidR="00F64CB7">
        <w:rPr>
          <w:rStyle w:val="FootnoteReference"/>
          <w:rFonts w:cs="Arial"/>
        </w:rPr>
        <w:footnoteReference w:id="3"/>
      </w:r>
      <w:r w:rsidRPr="00007910">
        <w:rPr>
          <w:rStyle w:val="fontstyle01"/>
          <w:rFonts w:ascii="Arial" w:hAnsi="Arial" w:cs="Arial"/>
        </w:rPr>
        <w:t xml:space="preserve"> </w:t>
      </w:r>
      <w:r w:rsidRPr="00007910" w:rsidR="00E130A5">
        <w:rPr>
          <w:rStyle w:val="fontstyle01"/>
          <w:rFonts w:ascii="Arial" w:hAnsi="Arial" w:cs="Arial"/>
        </w:rPr>
        <w:t xml:space="preserve">While the Authority acknowledges the vital role of the EDCs in any NWA </w:t>
      </w:r>
      <w:r w:rsidRPr="00007910" w:rsidR="002E53B7">
        <w:rPr>
          <w:rStyle w:val="fontstyle01"/>
          <w:rFonts w:ascii="Arial" w:hAnsi="Arial" w:cs="Arial"/>
        </w:rPr>
        <w:t>process or program, t</w:t>
      </w:r>
      <w:r w:rsidRPr="00007910" w:rsidR="00F64CB7">
        <w:rPr>
          <w:rStyle w:val="fontstyle01"/>
          <w:rFonts w:ascii="Arial" w:hAnsi="Arial" w:cs="Arial"/>
        </w:rPr>
        <w:t>he Authority</w:t>
      </w:r>
      <w:r w:rsidRPr="00007910" w:rsidR="002E53B7">
        <w:rPr>
          <w:rStyle w:val="fontstyle01"/>
          <w:rFonts w:ascii="Arial" w:hAnsi="Arial" w:cs="Arial"/>
        </w:rPr>
        <w:t xml:space="preserve"> </w:t>
      </w:r>
      <w:r w:rsidRPr="00007910" w:rsidR="00F64CB7">
        <w:rPr>
          <w:rStyle w:val="fontstyle01"/>
          <w:rFonts w:ascii="Arial" w:hAnsi="Arial" w:cs="Arial"/>
        </w:rPr>
        <w:t xml:space="preserve">rejects the suggestion </w:t>
      </w:r>
      <w:r w:rsidRPr="00007910" w:rsidR="00844480">
        <w:rPr>
          <w:rStyle w:val="fontstyle01"/>
          <w:rFonts w:ascii="Arial" w:hAnsi="Arial" w:cs="Arial"/>
        </w:rPr>
        <w:t xml:space="preserve">that </w:t>
      </w:r>
      <w:r w:rsidRPr="00007910" w:rsidR="00F64CB7">
        <w:rPr>
          <w:rStyle w:val="fontstyle01"/>
          <w:rFonts w:ascii="Arial" w:hAnsi="Arial" w:cs="Arial"/>
        </w:rPr>
        <w:t>the</w:t>
      </w:r>
      <w:r w:rsidRPr="00007910" w:rsidR="009A1F7A">
        <w:rPr>
          <w:rStyle w:val="fontstyle01"/>
          <w:rFonts w:ascii="Arial" w:hAnsi="Arial" w:cs="Arial"/>
        </w:rPr>
        <w:t xml:space="preserve"> EDCs alone should conduct </w:t>
      </w:r>
      <w:r w:rsidRPr="00007910" w:rsidR="00F64CB7">
        <w:rPr>
          <w:rStyle w:val="fontstyle01"/>
          <w:rFonts w:ascii="Arial" w:hAnsi="Arial" w:cs="Arial"/>
        </w:rPr>
        <w:t xml:space="preserve">the screening, selection, </w:t>
      </w:r>
      <w:r w:rsidRPr="00007910" w:rsidR="00BF7A7C">
        <w:rPr>
          <w:rStyle w:val="fontstyle01"/>
          <w:rFonts w:ascii="Arial" w:hAnsi="Arial" w:cs="Arial"/>
        </w:rPr>
        <w:t xml:space="preserve">and </w:t>
      </w:r>
      <w:r w:rsidRPr="00007910" w:rsidR="00F64CB7">
        <w:rPr>
          <w:rStyle w:val="fontstyle01"/>
          <w:rFonts w:ascii="Arial" w:hAnsi="Arial" w:cs="Arial"/>
        </w:rPr>
        <w:t xml:space="preserve">implementation </w:t>
      </w:r>
      <w:r w:rsidRPr="00007910" w:rsidR="002851CC">
        <w:rPr>
          <w:rStyle w:val="fontstyle01"/>
          <w:rFonts w:ascii="Arial" w:hAnsi="Arial" w:cs="Arial"/>
        </w:rPr>
        <w:t xml:space="preserve">of </w:t>
      </w:r>
      <w:r w:rsidRPr="00007910" w:rsidR="00C64844">
        <w:rPr>
          <w:rStyle w:val="fontstyle01"/>
          <w:rFonts w:ascii="Arial" w:hAnsi="Arial" w:cs="Arial"/>
        </w:rPr>
        <w:t xml:space="preserve">any </w:t>
      </w:r>
      <w:r w:rsidRPr="00007910" w:rsidR="002851CC">
        <w:rPr>
          <w:rStyle w:val="fontstyle01"/>
          <w:rFonts w:ascii="Arial" w:hAnsi="Arial" w:cs="Arial"/>
        </w:rPr>
        <w:t>NWA program</w:t>
      </w:r>
      <w:r w:rsidRPr="00007910" w:rsidR="00F64CB7">
        <w:rPr>
          <w:rStyle w:val="fontstyle01"/>
          <w:rFonts w:ascii="Arial" w:hAnsi="Arial" w:cs="Arial"/>
        </w:rPr>
        <w:t>. NWA</w:t>
      </w:r>
      <w:r w:rsidRPr="00007910" w:rsidR="1CAB48D0">
        <w:rPr>
          <w:rStyle w:val="fontstyle01"/>
          <w:rFonts w:ascii="Arial" w:hAnsi="Arial" w:cs="Arial"/>
        </w:rPr>
        <w:t>s</w:t>
      </w:r>
      <w:r w:rsidRPr="00007910" w:rsidR="00F64CB7">
        <w:rPr>
          <w:rStyle w:val="fontstyle01"/>
          <w:rFonts w:ascii="Arial" w:hAnsi="Arial" w:cs="Arial"/>
        </w:rPr>
        <w:t xml:space="preserve"> by their nature </w:t>
      </w:r>
      <w:r w:rsidRPr="00007910" w:rsidR="46132287">
        <w:rPr>
          <w:rStyle w:val="fontstyle01"/>
          <w:rFonts w:ascii="Arial" w:hAnsi="Arial" w:cs="Arial"/>
        </w:rPr>
        <w:t>as</w:t>
      </w:r>
      <w:r w:rsidRPr="00007910" w:rsidR="00F64CB7">
        <w:rPr>
          <w:rStyle w:val="fontstyle01"/>
          <w:rFonts w:ascii="Arial" w:hAnsi="Arial" w:cs="Arial"/>
        </w:rPr>
        <w:t xml:space="preserve"> alternative</w:t>
      </w:r>
      <w:r w:rsidRPr="00007910" w:rsidR="6783BF2F">
        <w:rPr>
          <w:rStyle w:val="fontstyle01"/>
          <w:rFonts w:ascii="Arial" w:hAnsi="Arial" w:cs="Arial"/>
        </w:rPr>
        <w:t>s</w:t>
      </w:r>
      <w:r w:rsidRPr="00007910" w:rsidR="00F64CB7">
        <w:rPr>
          <w:rStyle w:val="fontstyle01"/>
          <w:rFonts w:ascii="Arial" w:hAnsi="Arial" w:cs="Arial"/>
        </w:rPr>
        <w:t xml:space="preserve"> to traditional utility infrastructure</w:t>
      </w:r>
      <w:r w:rsidRPr="00007910" w:rsidR="00BC16E3">
        <w:rPr>
          <w:rStyle w:val="fontstyle01"/>
          <w:rFonts w:ascii="Arial" w:hAnsi="Arial" w:cs="Arial"/>
        </w:rPr>
        <w:t>,</w:t>
      </w:r>
      <w:r w:rsidRPr="00007910" w:rsidR="00F64CB7">
        <w:rPr>
          <w:rStyle w:val="fontstyle01"/>
          <w:rFonts w:ascii="Arial" w:hAnsi="Arial" w:cs="Arial"/>
        </w:rPr>
        <w:t xml:space="preserve"> made technologically and economically feasible by advanced technologies</w:t>
      </w:r>
      <w:r w:rsidRPr="00007910" w:rsidR="00BC16E3">
        <w:rPr>
          <w:rStyle w:val="fontstyle01"/>
          <w:rFonts w:ascii="Arial" w:hAnsi="Arial" w:cs="Arial"/>
        </w:rPr>
        <w:t>,</w:t>
      </w:r>
      <w:r w:rsidRPr="00007910" w:rsidR="00F64CB7">
        <w:rPr>
          <w:rStyle w:val="fontstyle01"/>
          <w:rFonts w:ascii="Arial" w:hAnsi="Arial" w:cs="Arial"/>
        </w:rPr>
        <w:t xml:space="preserve"> may be better understood and more economically and reliably implemented by non-utility energy companies. Both Eversource and UI propose and comment that utilities must control and implement, if not own, NWAs.</w:t>
      </w:r>
      <w:r w:rsidRPr="00007910" w:rsidR="00F64CB7">
        <w:rPr>
          <w:rStyle w:val="FootnoteReference"/>
          <w:rFonts w:cs="Arial"/>
        </w:rPr>
        <w:footnoteReference w:id="4"/>
      </w:r>
      <w:r w:rsidRPr="00007910" w:rsidR="00F64CB7">
        <w:rPr>
          <w:rStyle w:val="fontstyle01"/>
          <w:rFonts w:ascii="Arial" w:hAnsi="Arial" w:cs="Arial"/>
        </w:rPr>
        <w:t xml:space="preserve"> The Authority finds this</w:t>
      </w:r>
      <w:r w:rsidRPr="00007910" w:rsidR="002751B0">
        <w:rPr>
          <w:rStyle w:val="fontstyle01"/>
          <w:rFonts w:ascii="Arial" w:hAnsi="Arial" w:cs="Arial"/>
        </w:rPr>
        <w:t xml:space="preserve"> stance concerning</w:t>
      </w:r>
      <w:r w:rsidRPr="00007910" w:rsidR="00F64CB7">
        <w:rPr>
          <w:rStyle w:val="fontstyle01"/>
          <w:rFonts w:ascii="Arial" w:hAnsi="Arial" w:cs="Arial"/>
        </w:rPr>
        <w:t xml:space="preserve">. </w:t>
      </w:r>
      <w:r w:rsidRPr="00007910" w:rsidR="00BC7297">
        <w:rPr>
          <w:rStyle w:val="fontstyle01"/>
          <w:rFonts w:ascii="Arial" w:hAnsi="Arial" w:cs="Arial"/>
        </w:rPr>
        <w:t>When the conditions of a natural monopoly do not exist, possible competition is preferable so long as safe, affordable, and reliable service is thereby furthered</w:t>
      </w:r>
      <w:r w:rsidRPr="00007910" w:rsidR="00F64CB7">
        <w:rPr>
          <w:rStyle w:val="fontstyle01"/>
          <w:rFonts w:ascii="Arial" w:hAnsi="Arial" w:cs="Arial"/>
        </w:rPr>
        <w:t xml:space="preserve">. </w:t>
      </w:r>
      <w:r w:rsidRPr="00007910" w:rsidR="00685734">
        <w:rPr>
          <w:rStyle w:val="fontstyle01"/>
          <w:rFonts w:ascii="Arial" w:hAnsi="Arial" w:cs="Arial"/>
        </w:rPr>
        <w:t xml:space="preserve">NWAs </w:t>
      </w:r>
      <w:r w:rsidRPr="00007910" w:rsidR="00641FAF">
        <w:rPr>
          <w:rStyle w:val="fontstyle01"/>
          <w:rFonts w:ascii="Arial" w:hAnsi="Arial" w:cs="Arial"/>
        </w:rPr>
        <w:t xml:space="preserve">present </w:t>
      </w:r>
      <w:r w:rsidRPr="00007910" w:rsidR="001F4D27">
        <w:rPr>
          <w:rStyle w:val="fontstyle01"/>
          <w:rFonts w:ascii="Arial" w:hAnsi="Arial" w:cs="Arial"/>
        </w:rPr>
        <w:t>just this opportunity</w:t>
      </w:r>
      <w:r w:rsidRPr="00007910" w:rsidR="00F64CB7">
        <w:rPr>
          <w:rStyle w:val="fontstyle01"/>
          <w:rFonts w:ascii="Arial" w:hAnsi="Arial" w:cs="Arial"/>
        </w:rPr>
        <w:t xml:space="preserve">. </w:t>
      </w:r>
    </w:p>
    <w:p w:rsidRPr="00120364" w:rsidR="00EE24AF" w:rsidP="00A75E2F" w:rsidRDefault="00EE24AF" w14:paraId="341EDBA4" w14:textId="00822F2D">
      <w:pPr>
        <w:jc w:val="both"/>
        <w:rPr>
          <w:rStyle w:val="fontstyle01"/>
          <w:rFonts w:ascii="Arial" w:hAnsi="Arial" w:cs="Arial"/>
        </w:rPr>
      </w:pPr>
      <w:r w:rsidRPr="00007910">
        <w:rPr>
          <w:rStyle w:val="fontstyle01"/>
          <w:rFonts w:ascii="Arial" w:hAnsi="Arial" w:cs="Arial"/>
        </w:rPr>
        <w:t xml:space="preserve">The process by which electric distribution companies previously undertook </w:t>
      </w:r>
      <w:r w:rsidRPr="00007910" w:rsidR="00541EEC">
        <w:rPr>
          <w:rStyle w:val="fontstyle01"/>
          <w:rFonts w:ascii="Arial" w:hAnsi="Arial" w:cs="Arial"/>
        </w:rPr>
        <w:t xml:space="preserve">significant </w:t>
      </w:r>
      <w:r w:rsidRPr="00007910">
        <w:rPr>
          <w:rStyle w:val="fontstyle01"/>
          <w:rFonts w:ascii="Arial" w:hAnsi="Arial" w:cs="Arial"/>
        </w:rPr>
        <w:t>distribution system upgrades needs to be re-assessed to ensure these distribution wire and substation add</w:t>
      </w:r>
      <w:r w:rsidRPr="00007910" w:rsidR="000B7005">
        <w:rPr>
          <w:rStyle w:val="fontstyle01"/>
          <w:rFonts w:ascii="Arial" w:hAnsi="Arial" w:cs="Arial"/>
        </w:rPr>
        <w:t>ition</w:t>
      </w:r>
      <w:r w:rsidRPr="00007910">
        <w:rPr>
          <w:rStyle w:val="fontstyle01"/>
          <w:rFonts w:ascii="Arial" w:hAnsi="Arial" w:cs="Arial"/>
        </w:rPr>
        <w:t>s are necessary</w:t>
      </w:r>
      <w:r w:rsidRPr="00007910" w:rsidR="000B7005">
        <w:rPr>
          <w:rStyle w:val="fontstyle01"/>
          <w:rFonts w:ascii="Arial" w:hAnsi="Arial" w:cs="Arial"/>
        </w:rPr>
        <w:t xml:space="preserve"> in light of new technologies that may be</w:t>
      </w:r>
      <w:r w:rsidRPr="00007910">
        <w:rPr>
          <w:rStyle w:val="fontstyle01"/>
          <w:rFonts w:ascii="Arial" w:hAnsi="Arial" w:cs="Arial"/>
        </w:rPr>
        <w:t xml:space="preserve"> less expensive or better solutions</w:t>
      </w:r>
      <w:r w:rsidRPr="00007910" w:rsidR="00F90978">
        <w:rPr>
          <w:rStyle w:val="fontstyle01"/>
          <w:rFonts w:ascii="Arial" w:hAnsi="Arial" w:cs="Arial"/>
        </w:rPr>
        <w:t>, particularly if evaluated through the lens of resilience</w:t>
      </w:r>
      <w:r w:rsidRPr="00007910">
        <w:rPr>
          <w:rStyle w:val="fontstyle01"/>
          <w:rFonts w:ascii="Arial" w:hAnsi="Arial" w:cs="Arial"/>
        </w:rPr>
        <w:t xml:space="preserve">. </w:t>
      </w:r>
      <w:r w:rsidR="00255663">
        <w:rPr>
          <w:rStyle w:val="fontstyle01"/>
          <w:rFonts w:ascii="Arial" w:hAnsi="Arial" w:cs="Arial"/>
        </w:rPr>
        <w:t xml:space="preserve">The Authority notes </w:t>
      </w:r>
      <w:r w:rsidRPr="00007910" w:rsidR="000B7005">
        <w:rPr>
          <w:rStyle w:val="fontstyle01"/>
          <w:rFonts w:ascii="Arial" w:hAnsi="Arial" w:cs="Arial"/>
        </w:rPr>
        <w:t xml:space="preserve">that some </w:t>
      </w:r>
      <w:r w:rsidRPr="00007910">
        <w:rPr>
          <w:rStyle w:val="fontstyle01"/>
          <w:rFonts w:ascii="Arial" w:hAnsi="Arial" w:cs="Arial"/>
        </w:rPr>
        <w:t xml:space="preserve">solutions are available from non-regulated and non-utility </w:t>
      </w:r>
      <w:r w:rsidRPr="00007910" w:rsidR="000B7005">
        <w:rPr>
          <w:rStyle w:val="fontstyle01"/>
          <w:rFonts w:ascii="Arial" w:hAnsi="Arial" w:cs="Arial"/>
        </w:rPr>
        <w:t xml:space="preserve">advanced energy companies that now can compete with </w:t>
      </w:r>
      <w:r w:rsidRPr="00007910" w:rsidR="00733622">
        <w:rPr>
          <w:rStyle w:val="fontstyle01"/>
          <w:rFonts w:ascii="Arial" w:hAnsi="Arial" w:cs="Arial"/>
        </w:rPr>
        <w:t xml:space="preserve">traditional utility infrastructure </w:t>
      </w:r>
      <w:r w:rsidRPr="00007910" w:rsidR="000B7005">
        <w:rPr>
          <w:rStyle w:val="fontstyle01"/>
          <w:rFonts w:ascii="Arial" w:hAnsi="Arial" w:cs="Arial"/>
        </w:rPr>
        <w:t xml:space="preserve">in </w:t>
      </w:r>
      <w:r w:rsidRPr="00007910" w:rsidR="000B7005">
        <w:rPr>
          <w:rStyle w:val="fontstyle01"/>
          <w:rFonts w:ascii="Arial" w:hAnsi="Arial" w:cs="Arial"/>
        </w:rPr>
        <w:lastRenderedPageBreak/>
        <w:t>ways that were not possible even two decades ago. T</w:t>
      </w:r>
      <w:r w:rsidRPr="00007910">
        <w:rPr>
          <w:rStyle w:val="fontstyle01"/>
          <w:rFonts w:ascii="Arial" w:hAnsi="Arial" w:cs="Arial"/>
        </w:rPr>
        <w:t>he current</w:t>
      </w:r>
      <w:r w:rsidRPr="00007910" w:rsidR="000B7005">
        <w:rPr>
          <w:rStyle w:val="fontstyle01"/>
          <w:rFonts w:ascii="Arial" w:hAnsi="Arial" w:cs="Arial"/>
        </w:rPr>
        <w:t xml:space="preserve"> status quo</w:t>
      </w:r>
      <w:r w:rsidRPr="00007910">
        <w:rPr>
          <w:rStyle w:val="fontstyle01"/>
          <w:rFonts w:ascii="Arial" w:hAnsi="Arial" w:cs="Arial"/>
        </w:rPr>
        <w:t xml:space="preserve"> </w:t>
      </w:r>
      <w:r w:rsidRPr="00007910" w:rsidR="00FE5FB0">
        <w:rPr>
          <w:rStyle w:val="fontstyle01"/>
          <w:rFonts w:ascii="Arial" w:hAnsi="Arial" w:cs="Arial"/>
        </w:rPr>
        <w:t xml:space="preserve">is not designed to optimize </w:t>
      </w:r>
      <w:r w:rsidRPr="00120364" w:rsidR="00FE5FB0">
        <w:rPr>
          <w:rStyle w:val="fontstyle01"/>
          <w:rFonts w:ascii="Arial" w:hAnsi="Arial" w:cs="Arial"/>
        </w:rPr>
        <w:t xml:space="preserve">utility investments with customer-side resources. The NWA process is intended to include more resource options, more transparency to how those options are evaluated, and to optimize outcomes across parallel programs that </w:t>
      </w:r>
      <w:r w:rsidRPr="00120364" w:rsidR="004408E9">
        <w:rPr>
          <w:rStyle w:val="fontstyle01"/>
          <w:rFonts w:ascii="Arial" w:hAnsi="Arial" w:cs="Arial"/>
        </w:rPr>
        <w:t>use</w:t>
      </w:r>
      <w:r w:rsidRPr="00120364" w:rsidR="00FE5FB0">
        <w:rPr>
          <w:rStyle w:val="fontstyle01"/>
          <w:rFonts w:ascii="Arial" w:hAnsi="Arial" w:cs="Arial"/>
        </w:rPr>
        <w:t xml:space="preserve"> customer-side resources </w:t>
      </w:r>
      <w:r w:rsidRPr="00120364" w:rsidR="004408E9">
        <w:rPr>
          <w:rStyle w:val="fontstyle01"/>
          <w:rFonts w:ascii="Arial" w:hAnsi="Arial" w:cs="Arial"/>
        </w:rPr>
        <w:t>in competition with</w:t>
      </w:r>
      <w:r w:rsidRPr="00120364" w:rsidR="00FE5FB0">
        <w:rPr>
          <w:rStyle w:val="fontstyle01"/>
          <w:rFonts w:ascii="Arial" w:hAnsi="Arial" w:cs="Arial"/>
        </w:rPr>
        <w:t xml:space="preserve"> traditional utility investments</w:t>
      </w:r>
      <w:r w:rsidRPr="00120364">
        <w:rPr>
          <w:rStyle w:val="fontstyle01"/>
          <w:rFonts w:ascii="Arial" w:hAnsi="Arial" w:cs="Arial"/>
        </w:rPr>
        <w:t xml:space="preserve">. </w:t>
      </w:r>
    </w:p>
    <w:p w:rsidRPr="00A75E2F" w:rsidR="00A4227D" w:rsidRDefault="001201B0" w14:paraId="560853D1" w14:textId="41233ADF">
      <w:pPr>
        <w:jc w:val="both"/>
        <w:rPr>
          <w:rStyle w:val="fontstyle01"/>
          <w:rFonts w:ascii="Arial" w:hAnsi="Arial" w:cs="Arial"/>
        </w:rPr>
      </w:pPr>
      <w:r w:rsidRPr="00120364">
        <w:rPr>
          <w:rStyle w:val="fontstyle01"/>
          <w:rFonts w:ascii="Arial" w:hAnsi="Arial" w:cs="Arial"/>
        </w:rPr>
        <w:t>Further, t</w:t>
      </w:r>
      <w:r w:rsidRPr="00A75E2F" w:rsidR="00A4227D">
        <w:rPr>
          <w:rStyle w:val="fontstyle01"/>
          <w:rFonts w:ascii="Arial" w:hAnsi="Arial" w:cs="Arial"/>
        </w:rPr>
        <w:t xml:space="preserve">he utilities’ </w:t>
      </w:r>
      <w:r w:rsidRPr="00120364">
        <w:rPr>
          <w:rStyle w:val="fontstyle01"/>
          <w:rFonts w:ascii="Arial" w:hAnsi="Arial" w:cs="Arial"/>
        </w:rPr>
        <w:t>exclusive</w:t>
      </w:r>
      <w:r w:rsidRPr="00A75E2F" w:rsidR="00A4227D">
        <w:rPr>
          <w:rStyle w:val="fontstyle01"/>
          <w:rFonts w:ascii="Arial" w:hAnsi="Arial" w:cs="Arial"/>
        </w:rPr>
        <w:t xml:space="preserve"> control over customer and grid data is now potentially a barrier to desired sharing of system data with third parties. Third party entities may be able to develop less expensive, more reliable and/or innovative solutions to traditional utility wires and substation builds in Connecticut as they have done so in New York,</w:t>
      </w:r>
      <w:r w:rsidRPr="00120364" w:rsidR="00A4227D">
        <w:rPr>
          <w:rStyle w:val="FootnoteReference"/>
          <w:rFonts w:cs="Arial"/>
          <w:color w:val="000000"/>
        </w:rPr>
        <w:footnoteReference w:id="5"/>
      </w:r>
      <w:r w:rsidRPr="00A75E2F" w:rsidR="00A4227D">
        <w:rPr>
          <w:rStyle w:val="fontstyle01"/>
          <w:rFonts w:ascii="Arial" w:hAnsi="Arial" w:cs="Arial"/>
        </w:rPr>
        <w:t xml:space="preserve"> Maine</w:t>
      </w:r>
      <w:r w:rsidR="00255663">
        <w:rPr>
          <w:rStyle w:val="fontstyle01"/>
          <w:rFonts w:ascii="Arial" w:hAnsi="Arial" w:cs="Arial"/>
        </w:rPr>
        <w:t>,</w:t>
      </w:r>
      <w:r w:rsidRPr="00120364" w:rsidR="00A4227D">
        <w:rPr>
          <w:rStyle w:val="FootnoteReference"/>
          <w:rFonts w:cs="Arial"/>
          <w:color w:val="000000"/>
        </w:rPr>
        <w:footnoteReference w:id="6"/>
      </w:r>
      <w:r w:rsidRPr="00A75E2F" w:rsidR="00A4227D">
        <w:rPr>
          <w:rStyle w:val="fontstyle01"/>
          <w:rFonts w:ascii="Arial" w:hAnsi="Arial" w:cs="Arial"/>
        </w:rPr>
        <w:t xml:space="preserve"> Rhode Island</w:t>
      </w:r>
      <w:r w:rsidRPr="00120364" w:rsidR="0040209A">
        <w:rPr>
          <w:rStyle w:val="fontstyle01"/>
          <w:rFonts w:ascii="Arial" w:hAnsi="Arial" w:cs="Arial"/>
        </w:rPr>
        <w:t>,</w:t>
      </w:r>
      <w:r w:rsidRPr="00A75E2F" w:rsidR="00A4227D">
        <w:rPr>
          <w:rStyle w:val="fontstyle01"/>
          <w:rFonts w:ascii="Arial" w:hAnsi="Arial" w:cs="Arial"/>
        </w:rPr>
        <w:t xml:space="preserve"> and California</w:t>
      </w:r>
      <w:r w:rsidRPr="00A75E2F" w:rsidR="009F2BD4">
        <w:rPr>
          <w:rStyle w:val="fontstyle01"/>
          <w:rFonts w:ascii="Arial" w:hAnsi="Arial" w:cs="Arial"/>
        </w:rPr>
        <w:t>.</w:t>
      </w:r>
      <w:r w:rsidRPr="00120364" w:rsidR="00A4227D">
        <w:rPr>
          <w:rStyle w:val="FootnoteReference"/>
          <w:rFonts w:cs="Arial"/>
          <w:color w:val="000000"/>
        </w:rPr>
        <w:footnoteReference w:id="7"/>
      </w:r>
      <w:r w:rsidRPr="00A75E2F" w:rsidR="00A4227D">
        <w:rPr>
          <w:rStyle w:val="fontstyle01"/>
          <w:rFonts w:ascii="Arial" w:hAnsi="Arial" w:cs="Arial"/>
        </w:rPr>
        <w:t xml:space="preserve"> However, such innovative companies simply cannot develop and propose any solution without access to adequate utility distribution engineering, system data, and planning and costs options to address modern grid and customer needs. </w:t>
      </w:r>
      <w:r w:rsidRPr="00120364" w:rsidR="003D4A04">
        <w:rPr>
          <w:rStyle w:val="fontstyle01"/>
          <w:rFonts w:ascii="Arial" w:hAnsi="Arial" w:cs="Arial"/>
        </w:rPr>
        <w:t>More specifically, for third-party solutions to be viable from a utility planning perspective, third parties need to have access to utility plant need identification data, and any needs assessments and utility investment plans both sooner and to a much great</w:t>
      </w:r>
      <w:r w:rsidR="007D443E">
        <w:rPr>
          <w:rStyle w:val="fontstyle01"/>
          <w:rFonts w:ascii="Arial" w:hAnsi="Arial" w:cs="Arial"/>
        </w:rPr>
        <w:t>er</w:t>
      </w:r>
      <w:r w:rsidRPr="00120364" w:rsidR="003D4A04">
        <w:rPr>
          <w:rStyle w:val="fontstyle01"/>
          <w:rFonts w:ascii="Arial" w:hAnsi="Arial" w:cs="Arial"/>
        </w:rPr>
        <w:t xml:space="preserve"> degree than in the past.</w:t>
      </w:r>
    </w:p>
    <w:p w:rsidRPr="00120364" w:rsidR="000A514D" w:rsidRDefault="000A514D" w14:paraId="379242E3" w14:textId="6757D9B8">
      <w:pPr>
        <w:jc w:val="both"/>
        <w:rPr>
          <w:rStyle w:val="fontstyle01"/>
          <w:rFonts w:ascii="Arial" w:hAnsi="Arial" w:cs="Arial"/>
        </w:rPr>
      </w:pPr>
      <w:r w:rsidRPr="00A75E2F">
        <w:rPr>
          <w:rStyle w:val="fontstyle01"/>
          <w:rFonts w:ascii="Arial" w:hAnsi="Arial" w:cs="Arial"/>
        </w:rPr>
        <w:t>In 2021, when distributed resources can provide less expensive options for ratepayers than some utility investment, consideration of NWAs in a transparent process open to the public and other energy service provides is now part of prudent utility planning.  Examples of the value NWAs provide are listed in Appendix A. The Authority notes that in multiple well-known examples of NWAs, the NWA itself combined with delay in the planned T&amp;D upgrades and a hard look over time at the planned utility investment and implementation of alternatives led to cancellation of the utility investment as unnecessary. So, avoidance as well as deferral of traditional T&amp;D infrastructure is possible.</w:t>
      </w:r>
    </w:p>
    <w:p w:rsidRPr="00007910" w:rsidR="00EE24AF" w:rsidP="00A75E2F" w:rsidRDefault="000B7005" w14:paraId="78229253" w14:textId="1AE4C939">
      <w:pPr>
        <w:jc w:val="both"/>
        <w:rPr>
          <w:rStyle w:val="fontstyle01"/>
          <w:rFonts w:ascii="Arial" w:hAnsi="Arial" w:cs="Arial"/>
        </w:rPr>
      </w:pPr>
      <w:r w:rsidRPr="00120364">
        <w:rPr>
          <w:rStyle w:val="fontstyle01"/>
          <w:rFonts w:ascii="Arial" w:hAnsi="Arial" w:cs="Arial"/>
        </w:rPr>
        <w:t xml:space="preserve">For these reasons, </w:t>
      </w:r>
      <w:r w:rsidRPr="00120364" w:rsidR="00EE24AF">
        <w:rPr>
          <w:rStyle w:val="fontstyle01"/>
          <w:rFonts w:ascii="Arial" w:hAnsi="Arial" w:cs="Arial"/>
        </w:rPr>
        <w:t xml:space="preserve">Connecticut needs a new system to </w:t>
      </w:r>
      <w:r w:rsidRPr="00120364" w:rsidR="005A5D3D">
        <w:rPr>
          <w:rStyle w:val="fontstyle01"/>
          <w:rFonts w:ascii="Arial" w:hAnsi="Arial" w:cs="Arial"/>
        </w:rPr>
        <w:t xml:space="preserve">fairly </w:t>
      </w:r>
      <w:r w:rsidRPr="00120364" w:rsidR="00EE24AF">
        <w:rPr>
          <w:rStyle w:val="fontstyle01"/>
          <w:rFonts w:ascii="Arial" w:hAnsi="Arial" w:cs="Arial"/>
        </w:rPr>
        <w:t>evaluat</w:t>
      </w:r>
      <w:r w:rsidRPr="00120364">
        <w:rPr>
          <w:rStyle w:val="fontstyle01"/>
          <w:rFonts w:ascii="Arial" w:hAnsi="Arial" w:cs="Arial"/>
        </w:rPr>
        <w:t>e</w:t>
      </w:r>
      <w:r w:rsidRPr="00120364" w:rsidR="00EE24AF">
        <w:rPr>
          <w:rStyle w:val="fontstyle01"/>
          <w:rFonts w:ascii="Arial" w:hAnsi="Arial" w:cs="Arial"/>
        </w:rPr>
        <w:t xml:space="preserve"> utility and non-utility solutions – </w:t>
      </w:r>
      <w:r w:rsidRPr="00120364">
        <w:rPr>
          <w:rStyle w:val="fontstyle01"/>
          <w:rFonts w:ascii="Arial" w:hAnsi="Arial" w:cs="Arial"/>
        </w:rPr>
        <w:t xml:space="preserve">to put competing utility and competitive solutions </w:t>
      </w:r>
      <w:r w:rsidRPr="00120364" w:rsidR="00EE24AF">
        <w:rPr>
          <w:rStyle w:val="fontstyle01"/>
          <w:rFonts w:ascii="Arial" w:hAnsi="Arial" w:cs="Arial"/>
        </w:rPr>
        <w:t>on an equal playing field and opportunity to compete</w:t>
      </w:r>
      <w:r w:rsidRPr="00120364" w:rsidR="00513935">
        <w:rPr>
          <w:rStyle w:val="fontstyle01"/>
          <w:rFonts w:ascii="Arial" w:hAnsi="Arial" w:cs="Arial"/>
        </w:rPr>
        <w:t xml:space="preserve"> </w:t>
      </w:r>
      <w:r w:rsidRPr="00120364">
        <w:rPr>
          <w:rStyle w:val="fontstyle01"/>
          <w:rFonts w:ascii="Arial" w:hAnsi="Arial" w:cs="Arial"/>
        </w:rPr>
        <w:t>for the most effective</w:t>
      </w:r>
      <w:r w:rsidRPr="00120364" w:rsidR="00A47026">
        <w:rPr>
          <w:rStyle w:val="fontstyle01"/>
          <w:rFonts w:ascii="Arial" w:hAnsi="Arial" w:cs="Arial"/>
        </w:rPr>
        <w:t xml:space="preserve"> least-cost</w:t>
      </w:r>
      <w:r w:rsidRPr="00120364">
        <w:rPr>
          <w:rStyle w:val="fontstyle01"/>
          <w:rFonts w:ascii="Arial" w:hAnsi="Arial" w:cs="Arial"/>
        </w:rPr>
        <w:t xml:space="preserve"> solution</w:t>
      </w:r>
      <w:r w:rsidRPr="00120364" w:rsidR="00513935">
        <w:rPr>
          <w:rStyle w:val="fontstyle01"/>
          <w:rFonts w:ascii="Arial" w:hAnsi="Arial" w:cs="Arial"/>
        </w:rPr>
        <w:t>. That is not possible where the utility controls information</w:t>
      </w:r>
      <w:r w:rsidRPr="00120364">
        <w:rPr>
          <w:rStyle w:val="fontstyle01"/>
          <w:rFonts w:ascii="Arial" w:hAnsi="Arial" w:cs="Arial"/>
        </w:rPr>
        <w:t xml:space="preserve"> and data</w:t>
      </w:r>
      <w:r w:rsidRPr="00120364" w:rsidR="00513935">
        <w:rPr>
          <w:rStyle w:val="fontstyle01"/>
          <w:rFonts w:ascii="Arial" w:hAnsi="Arial" w:cs="Arial"/>
        </w:rPr>
        <w:t xml:space="preserve"> on distribution system needs and makes critical table-setting decision</w:t>
      </w:r>
      <w:r w:rsidRPr="00120364">
        <w:rPr>
          <w:rStyle w:val="fontstyle01"/>
          <w:rFonts w:ascii="Arial" w:hAnsi="Arial" w:cs="Arial"/>
        </w:rPr>
        <w:t>s</w:t>
      </w:r>
      <w:r w:rsidRPr="00120364" w:rsidR="00513935">
        <w:rPr>
          <w:rStyle w:val="fontstyle01"/>
          <w:rFonts w:ascii="Arial" w:hAnsi="Arial" w:cs="Arial"/>
        </w:rPr>
        <w:t xml:space="preserve"> years</w:t>
      </w:r>
      <w:r w:rsidRPr="00007910" w:rsidR="00513935">
        <w:rPr>
          <w:rStyle w:val="fontstyle01"/>
          <w:rFonts w:ascii="Arial" w:hAnsi="Arial" w:cs="Arial"/>
        </w:rPr>
        <w:t xml:space="preserve"> in advance.</w:t>
      </w:r>
    </w:p>
    <w:p w:rsidR="007F6D74" w:rsidP="007F6D74" w:rsidRDefault="00A51F24" w14:paraId="57F1829A" w14:textId="6A72BD81">
      <w:pPr>
        <w:jc w:val="both"/>
        <w:rPr>
          <w:rStyle w:val="fontstyle01"/>
          <w:rFonts w:ascii="Arial" w:hAnsi="Arial" w:cs="Arial"/>
        </w:rPr>
      </w:pPr>
      <w:r>
        <w:rPr>
          <w:rStyle w:val="fontstyle01"/>
          <w:rFonts w:ascii="Arial" w:hAnsi="Arial" w:cs="Arial"/>
        </w:rPr>
        <w:t>Ultimately, a</w:t>
      </w:r>
      <w:r w:rsidRPr="00007910" w:rsidR="00EB5091">
        <w:rPr>
          <w:rStyle w:val="fontstyle01"/>
          <w:rFonts w:ascii="Arial" w:hAnsi="Arial" w:cs="Arial"/>
        </w:rPr>
        <w:t>s competition becomes increasing</w:t>
      </w:r>
      <w:r w:rsidR="00255663">
        <w:rPr>
          <w:rStyle w:val="fontstyle01"/>
          <w:rFonts w:ascii="Arial" w:hAnsi="Arial" w:cs="Arial"/>
        </w:rPr>
        <w:t>ly</w:t>
      </w:r>
      <w:r w:rsidRPr="00007910" w:rsidR="00EB5091">
        <w:rPr>
          <w:rStyle w:val="fontstyle01"/>
          <w:rFonts w:ascii="Arial" w:hAnsi="Arial" w:cs="Arial"/>
        </w:rPr>
        <w:t xml:space="preserve"> viable with traditional monopoly utilities, the role of energy regulators is to ensure there are viable processes and space for that competition to occur – </w:t>
      </w:r>
      <w:r>
        <w:rPr>
          <w:rStyle w:val="fontstyle01"/>
          <w:rFonts w:ascii="Arial" w:hAnsi="Arial" w:cs="Arial"/>
        </w:rPr>
        <w:t xml:space="preserve">in short, the development of an open NWA process </w:t>
      </w:r>
      <w:r w:rsidRPr="00007910" w:rsidR="00EB5091">
        <w:rPr>
          <w:rStyle w:val="fontstyle01"/>
          <w:rFonts w:ascii="Arial" w:hAnsi="Arial" w:cs="Arial"/>
        </w:rPr>
        <w:t>is a direct evolution of PURA’s regulation to ensure reliable, safe</w:t>
      </w:r>
      <w:r w:rsidR="009F2CA0">
        <w:rPr>
          <w:rStyle w:val="fontstyle01"/>
          <w:rFonts w:ascii="Arial" w:hAnsi="Arial" w:cs="Arial"/>
        </w:rPr>
        <w:t>,</w:t>
      </w:r>
      <w:r w:rsidRPr="00007910" w:rsidR="00EB5091">
        <w:rPr>
          <w:rStyle w:val="fontstyle01"/>
          <w:rFonts w:ascii="Arial" w:hAnsi="Arial" w:cs="Arial"/>
        </w:rPr>
        <w:t xml:space="preserve"> and affordable electricity service.</w:t>
      </w:r>
    </w:p>
    <w:p w:rsidRPr="00007910" w:rsidR="00680574" w:rsidP="00680574" w:rsidRDefault="006F3E92" w14:paraId="7DFB18D8" w14:textId="1C98E159">
      <w:pPr>
        <w:pStyle w:val="ListParagraph"/>
        <w:numPr>
          <w:ilvl w:val="0"/>
          <w:numId w:val="6"/>
        </w:numPr>
        <w:rPr>
          <w:rStyle w:val="fontstyle01"/>
          <w:rFonts w:ascii="Arial" w:hAnsi="Arial" w:cs="Arial"/>
        </w:rPr>
      </w:pPr>
      <w:r w:rsidRPr="00007910">
        <w:rPr>
          <w:rStyle w:val="fontstyle01"/>
          <w:rFonts w:ascii="Arial" w:hAnsi="Arial" w:cs="Arial"/>
          <w:b/>
          <w:bCs/>
        </w:rPr>
        <w:lastRenderedPageBreak/>
        <w:t xml:space="preserve">Goals of </w:t>
      </w:r>
      <w:r w:rsidRPr="00007910" w:rsidR="008B21C1">
        <w:rPr>
          <w:rStyle w:val="fontstyle01"/>
          <w:rFonts w:ascii="Arial" w:hAnsi="Arial" w:cs="Arial"/>
          <w:b/>
          <w:bCs/>
        </w:rPr>
        <w:t>Connecticut’s</w:t>
      </w:r>
      <w:r w:rsidRPr="00007910">
        <w:rPr>
          <w:rStyle w:val="fontstyle01"/>
          <w:rFonts w:ascii="Arial" w:hAnsi="Arial" w:cs="Arial"/>
          <w:b/>
          <w:bCs/>
        </w:rPr>
        <w:t xml:space="preserve"> NWA Solutions </w:t>
      </w:r>
      <w:r w:rsidRPr="00007910" w:rsidR="00B35CBC">
        <w:rPr>
          <w:rStyle w:val="fontstyle01"/>
          <w:rFonts w:ascii="Arial" w:hAnsi="Arial" w:cs="Arial"/>
          <w:b/>
          <w:bCs/>
        </w:rPr>
        <w:t>Program</w:t>
      </w:r>
    </w:p>
    <w:p w:rsidRPr="00007910" w:rsidR="00EE24AF" w:rsidP="00A75E2F" w:rsidRDefault="002F4EEF" w14:paraId="1B5676D0" w14:textId="72251905">
      <w:pPr>
        <w:jc w:val="both"/>
        <w:rPr>
          <w:rStyle w:val="fontstyle01"/>
          <w:rFonts w:ascii="Arial" w:hAnsi="Arial" w:cs="Arial"/>
        </w:rPr>
      </w:pPr>
      <w:r w:rsidRPr="00007910">
        <w:rPr>
          <w:rStyle w:val="fontstyle01"/>
          <w:rFonts w:ascii="Arial" w:hAnsi="Arial" w:cs="Arial"/>
        </w:rPr>
        <w:t>T</w:t>
      </w:r>
      <w:r w:rsidRPr="00007910" w:rsidR="00EE24AF">
        <w:rPr>
          <w:rStyle w:val="fontstyle01"/>
          <w:rFonts w:ascii="Arial" w:hAnsi="Arial" w:cs="Arial"/>
        </w:rPr>
        <w:t xml:space="preserve">he goals that the Authority adopts in establishing </w:t>
      </w:r>
      <w:r w:rsidRPr="00007910" w:rsidR="00B35CBC">
        <w:rPr>
          <w:rStyle w:val="fontstyle01"/>
          <w:rFonts w:ascii="Arial" w:hAnsi="Arial" w:cs="Arial"/>
        </w:rPr>
        <w:t>the NWA Solutions Program</w:t>
      </w:r>
      <w:r w:rsidRPr="00007910" w:rsidR="00EE24AF">
        <w:rPr>
          <w:rStyle w:val="fontstyle01"/>
          <w:rFonts w:ascii="Arial" w:hAnsi="Arial" w:cs="Arial"/>
        </w:rPr>
        <w:t xml:space="preserve"> for Connecticut’s investor-</w:t>
      </w:r>
      <w:r w:rsidRPr="00007910" w:rsidR="00B54066">
        <w:rPr>
          <w:rStyle w:val="fontstyle01"/>
          <w:rFonts w:ascii="Arial" w:hAnsi="Arial" w:cs="Arial"/>
        </w:rPr>
        <w:t>owned</w:t>
      </w:r>
      <w:r w:rsidRPr="00007910" w:rsidR="00EE24AF">
        <w:rPr>
          <w:rStyle w:val="fontstyle01"/>
          <w:rFonts w:ascii="Arial" w:hAnsi="Arial" w:cs="Arial"/>
        </w:rPr>
        <w:t xml:space="preserve"> </w:t>
      </w:r>
      <w:r w:rsidRPr="00007910" w:rsidR="00B35CBC">
        <w:rPr>
          <w:rStyle w:val="fontstyle01"/>
          <w:rFonts w:ascii="Arial" w:hAnsi="Arial" w:cs="Arial"/>
        </w:rPr>
        <w:t>EDCs</w:t>
      </w:r>
      <w:r w:rsidRPr="00007910" w:rsidR="00EE24AF">
        <w:rPr>
          <w:rStyle w:val="fontstyle01"/>
          <w:rFonts w:ascii="Arial" w:hAnsi="Arial" w:cs="Arial"/>
        </w:rPr>
        <w:t xml:space="preserve"> are:</w:t>
      </w:r>
    </w:p>
    <w:p w:rsidRPr="00007910" w:rsidR="00040419" w:rsidP="00040419" w:rsidRDefault="00C1570F" w14:paraId="1169177E" w14:textId="143DCEA7">
      <w:pPr>
        <w:pStyle w:val="ListParagraph"/>
        <w:numPr>
          <w:ilvl w:val="0"/>
          <w:numId w:val="3"/>
        </w:numPr>
        <w:rPr>
          <w:rStyle w:val="fontstyle01"/>
          <w:rFonts w:ascii="Arial" w:hAnsi="Arial" w:cs="Arial"/>
        </w:rPr>
      </w:pPr>
      <w:r w:rsidRPr="00007910">
        <w:rPr>
          <w:rStyle w:val="fontstyle01"/>
          <w:rFonts w:ascii="Arial" w:hAnsi="Arial" w:cs="Arial"/>
        </w:rPr>
        <w:t>Improving the evaluation of d</w:t>
      </w:r>
      <w:r w:rsidRPr="00007910" w:rsidR="00040419">
        <w:rPr>
          <w:rStyle w:val="fontstyle01"/>
          <w:rFonts w:ascii="Arial" w:hAnsi="Arial" w:cs="Arial"/>
        </w:rPr>
        <w:t>istribution needs</w:t>
      </w:r>
      <w:r w:rsidRPr="00007910" w:rsidR="00B54066">
        <w:rPr>
          <w:rStyle w:val="fontstyle01"/>
          <w:rFonts w:ascii="Arial" w:hAnsi="Arial" w:cs="Arial"/>
        </w:rPr>
        <w:t xml:space="preserve"> and planning</w:t>
      </w:r>
      <w:r w:rsidRPr="00007910" w:rsidR="00040419">
        <w:rPr>
          <w:rStyle w:val="fontstyle01"/>
          <w:rFonts w:ascii="Arial" w:hAnsi="Arial" w:cs="Arial"/>
        </w:rPr>
        <w:t xml:space="preserve"> transparency</w:t>
      </w:r>
      <w:r w:rsidRPr="00007910" w:rsidR="00B54066">
        <w:rPr>
          <w:rStyle w:val="fontstyle01"/>
          <w:rFonts w:ascii="Arial" w:hAnsi="Arial" w:cs="Arial"/>
        </w:rPr>
        <w:t xml:space="preserve"> for significant </w:t>
      </w:r>
      <w:proofErr w:type="gramStart"/>
      <w:r w:rsidRPr="00007910" w:rsidR="00B54066">
        <w:rPr>
          <w:rStyle w:val="fontstyle01"/>
          <w:rFonts w:ascii="Arial" w:hAnsi="Arial" w:cs="Arial"/>
        </w:rPr>
        <w:t>additions</w:t>
      </w:r>
      <w:r w:rsidRPr="00007910" w:rsidR="00C96745">
        <w:rPr>
          <w:rStyle w:val="fontstyle01"/>
          <w:rFonts w:ascii="Arial" w:hAnsi="Arial" w:cs="Arial"/>
        </w:rPr>
        <w:t>;</w:t>
      </w:r>
      <w:proofErr w:type="gramEnd"/>
    </w:p>
    <w:p w:rsidRPr="00007910" w:rsidR="00B54066" w:rsidP="00040419" w:rsidRDefault="00B54066" w14:paraId="0D062086" w14:textId="222D9DA2">
      <w:pPr>
        <w:pStyle w:val="ListParagraph"/>
        <w:numPr>
          <w:ilvl w:val="0"/>
          <w:numId w:val="3"/>
        </w:numPr>
        <w:rPr>
          <w:rStyle w:val="fontstyle01"/>
          <w:rFonts w:ascii="Arial" w:hAnsi="Arial" w:cs="Arial"/>
        </w:rPr>
      </w:pPr>
      <w:r w:rsidRPr="00007910">
        <w:rPr>
          <w:rStyle w:val="fontstyle01"/>
          <w:rFonts w:ascii="Arial" w:hAnsi="Arial" w:cs="Arial"/>
        </w:rPr>
        <w:t>Leverage market competiti</w:t>
      </w:r>
      <w:r w:rsidRPr="00007910" w:rsidR="00C1570F">
        <w:rPr>
          <w:rStyle w:val="fontstyle01"/>
          <w:rFonts w:ascii="Arial" w:hAnsi="Arial" w:cs="Arial"/>
        </w:rPr>
        <w:t>on</w:t>
      </w:r>
      <w:r w:rsidRPr="00007910">
        <w:rPr>
          <w:rStyle w:val="fontstyle01"/>
          <w:rFonts w:ascii="Arial" w:hAnsi="Arial" w:cs="Arial"/>
        </w:rPr>
        <w:t xml:space="preserve"> to reduce prices and improve customer </w:t>
      </w:r>
      <w:proofErr w:type="gramStart"/>
      <w:r w:rsidRPr="00007910">
        <w:rPr>
          <w:rStyle w:val="fontstyle01"/>
          <w:rFonts w:ascii="Arial" w:hAnsi="Arial" w:cs="Arial"/>
        </w:rPr>
        <w:t>service</w:t>
      </w:r>
      <w:r w:rsidRPr="00007910" w:rsidR="00C96745">
        <w:rPr>
          <w:rStyle w:val="fontstyle01"/>
          <w:rFonts w:ascii="Arial" w:hAnsi="Arial" w:cs="Arial"/>
        </w:rPr>
        <w:t>;</w:t>
      </w:r>
      <w:proofErr w:type="gramEnd"/>
    </w:p>
    <w:p w:rsidRPr="00007910" w:rsidR="00B54066" w:rsidP="00040419" w:rsidRDefault="00B54066" w14:paraId="25F498E8" w14:textId="4B0515D6">
      <w:pPr>
        <w:pStyle w:val="ListParagraph"/>
        <w:numPr>
          <w:ilvl w:val="0"/>
          <w:numId w:val="3"/>
        </w:numPr>
        <w:rPr>
          <w:rStyle w:val="fontstyle01"/>
          <w:rFonts w:ascii="Arial" w:hAnsi="Arial" w:cs="Arial"/>
        </w:rPr>
      </w:pPr>
      <w:r w:rsidRPr="00007910">
        <w:rPr>
          <w:rStyle w:val="fontstyle01"/>
          <w:rFonts w:ascii="Arial" w:hAnsi="Arial" w:cs="Arial"/>
        </w:rPr>
        <w:t xml:space="preserve">Fully pursue and capture reasonable benefits for Connecticut </w:t>
      </w:r>
      <w:r w:rsidRPr="00007910" w:rsidR="003C7F23">
        <w:rPr>
          <w:rStyle w:val="fontstyle01"/>
          <w:rFonts w:ascii="Arial" w:hAnsi="Arial" w:cs="Arial"/>
        </w:rPr>
        <w:t xml:space="preserve">ratepayers </w:t>
      </w:r>
      <w:r w:rsidRPr="00007910">
        <w:rPr>
          <w:rStyle w:val="fontstyle01"/>
          <w:rFonts w:ascii="Arial" w:hAnsi="Arial" w:cs="Arial"/>
        </w:rPr>
        <w:t>and businesses</w:t>
      </w:r>
      <w:r w:rsidRPr="00007910" w:rsidR="00E206FA">
        <w:rPr>
          <w:rStyle w:val="fontstyle01"/>
          <w:rFonts w:ascii="Arial" w:hAnsi="Arial" w:cs="Arial"/>
        </w:rPr>
        <w:t>,</w:t>
      </w:r>
      <w:r w:rsidRPr="00007910" w:rsidR="00FE5717">
        <w:rPr>
          <w:rStyle w:val="fontstyle01"/>
          <w:rFonts w:ascii="Arial" w:hAnsi="Arial" w:cs="Arial"/>
        </w:rPr>
        <w:t xml:space="preserve"> </w:t>
      </w:r>
      <w:r w:rsidRPr="00007910" w:rsidR="00E206FA">
        <w:rPr>
          <w:rStyle w:val="fontstyle01"/>
          <w:rFonts w:ascii="Arial" w:hAnsi="Arial" w:cs="Arial"/>
        </w:rPr>
        <w:t>including</w:t>
      </w:r>
      <w:r w:rsidRPr="00007910" w:rsidR="00FE5717">
        <w:rPr>
          <w:rStyle w:val="fontstyle01"/>
          <w:rFonts w:ascii="Arial" w:hAnsi="Arial" w:cs="Arial"/>
        </w:rPr>
        <w:t xml:space="preserve"> values </w:t>
      </w:r>
      <w:r w:rsidRPr="00007910" w:rsidR="00E206FA">
        <w:rPr>
          <w:rStyle w:val="fontstyle01"/>
          <w:rFonts w:ascii="Arial" w:hAnsi="Arial" w:cs="Arial"/>
        </w:rPr>
        <w:t>b</w:t>
      </w:r>
      <w:r w:rsidRPr="00007910" w:rsidR="00FE5717">
        <w:rPr>
          <w:rStyle w:val="fontstyle01"/>
          <w:rFonts w:ascii="Arial" w:hAnsi="Arial" w:cs="Arial"/>
        </w:rPr>
        <w:t>eyond the</w:t>
      </w:r>
      <w:r w:rsidRPr="00007910" w:rsidR="00E206FA">
        <w:rPr>
          <w:rStyle w:val="fontstyle01"/>
          <w:rFonts w:ascii="Arial" w:hAnsi="Arial" w:cs="Arial"/>
        </w:rPr>
        <w:t xml:space="preserve"> distribution</w:t>
      </w:r>
      <w:r w:rsidRPr="00007910" w:rsidR="00FE5717">
        <w:rPr>
          <w:rStyle w:val="fontstyle01"/>
          <w:rFonts w:ascii="Arial" w:hAnsi="Arial" w:cs="Arial"/>
        </w:rPr>
        <w:t xml:space="preserve"> grid</w:t>
      </w:r>
      <w:r w:rsidRPr="00007910" w:rsidR="003C7F23">
        <w:rPr>
          <w:rStyle w:val="fontstyle01"/>
          <w:rFonts w:ascii="Arial" w:hAnsi="Arial" w:cs="Arial"/>
        </w:rPr>
        <w:t xml:space="preserve"> to save money on reducing regional costs and undertake resilience measures</w:t>
      </w:r>
      <w:r w:rsidRPr="00007910" w:rsidR="005F34DF">
        <w:rPr>
          <w:rStyle w:val="fontstyle01"/>
          <w:rFonts w:ascii="Arial" w:hAnsi="Arial" w:cs="Arial"/>
        </w:rPr>
        <w:t>;</w:t>
      </w:r>
      <w:r w:rsidRPr="00007910" w:rsidR="0051050B">
        <w:rPr>
          <w:rStyle w:val="fontstyle01"/>
          <w:rFonts w:ascii="Arial" w:hAnsi="Arial" w:cs="Arial"/>
        </w:rPr>
        <w:t xml:space="preserve"> and</w:t>
      </w:r>
      <w:r w:rsidRPr="00007910" w:rsidR="000D59FA">
        <w:rPr>
          <w:rStyle w:val="fontstyle01"/>
          <w:rFonts w:ascii="Arial" w:hAnsi="Arial" w:cs="Arial"/>
        </w:rPr>
        <w:t>,</w:t>
      </w:r>
    </w:p>
    <w:p w:rsidRPr="00007910" w:rsidR="00B54066" w:rsidP="00040419" w:rsidRDefault="00967F1F" w14:paraId="4D59890C" w14:textId="1D237F3F">
      <w:pPr>
        <w:pStyle w:val="ListParagraph"/>
        <w:numPr>
          <w:ilvl w:val="0"/>
          <w:numId w:val="3"/>
        </w:numPr>
        <w:rPr>
          <w:rStyle w:val="fontstyle01"/>
          <w:rFonts w:ascii="Arial" w:hAnsi="Arial" w:cs="Arial"/>
        </w:rPr>
      </w:pPr>
      <w:r w:rsidRPr="00007910">
        <w:rPr>
          <w:rStyle w:val="fontstyle01"/>
          <w:rFonts w:ascii="Arial" w:hAnsi="Arial" w:cs="Arial"/>
        </w:rPr>
        <w:t>Furthering</w:t>
      </w:r>
      <w:r w:rsidRPr="00007910" w:rsidR="00B54066">
        <w:rPr>
          <w:rStyle w:val="fontstyle01"/>
          <w:rFonts w:ascii="Arial" w:hAnsi="Arial" w:cs="Arial"/>
        </w:rPr>
        <w:t xml:space="preserve"> Connecticut’s clean energy, climate action</w:t>
      </w:r>
      <w:r w:rsidRPr="00007910" w:rsidR="005F34DF">
        <w:rPr>
          <w:rStyle w:val="fontstyle01"/>
          <w:rFonts w:ascii="Arial" w:hAnsi="Arial" w:cs="Arial"/>
        </w:rPr>
        <w:t>,</w:t>
      </w:r>
      <w:r w:rsidRPr="00007910" w:rsidR="00B54066">
        <w:rPr>
          <w:rStyle w:val="fontstyle01"/>
          <w:rFonts w:ascii="Arial" w:hAnsi="Arial" w:cs="Arial"/>
        </w:rPr>
        <w:t xml:space="preserve"> and renewable goals and mandates</w:t>
      </w:r>
      <w:r w:rsidRPr="00007910" w:rsidR="005F34DF">
        <w:rPr>
          <w:rStyle w:val="fontstyle01"/>
          <w:rFonts w:ascii="Arial" w:hAnsi="Arial" w:cs="Arial"/>
        </w:rPr>
        <w:t>.</w:t>
      </w:r>
    </w:p>
    <w:p w:rsidRPr="00007910" w:rsidR="00B64E8B" w:rsidP="00A75E2F" w:rsidRDefault="2F0952B6" w14:paraId="797D6E35" w14:textId="14BD4E54">
      <w:pPr>
        <w:jc w:val="both"/>
        <w:rPr>
          <w:rStyle w:val="fontstyle01"/>
          <w:rFonts w:ascii="Arial" w:hAnsi="Arial" w:cs="Arial"/>
        </w:rPr>
      </w:pPr>
      <w:r w:rsidRPr="00007910">
        <w:rPr>
          <w:rStyle w:val="fontstyle01"/>
          <w:rFonts w:ascii="Arial" w:hAnsi="Arial" w:cs="Arial"/>
        </w:rPr>
        <w:t>First,</w:t>
      </w:r>
      <w:r w:rsidRPr="00007910" w:rsidR="143DF0A2">
        <w:rPr>
          <w:rStyle w:val="fontstyle01"/>
          <w:rFonts w:ascii="Arial" w:hAnsi="Arial" w:cs="Arial"/>
        </w:rPr>
        <w:t xml:space="preserve"> </w:t>
      </w:r>
      <w:r w:rsidRPr="00007910" w:rsidR="36F2FCDF">
        <w:rPr>
          <w:rStyle w:val="fontstyle01"/>
          <w:rFonts w:ascii="Arial" w:hAnsi="Arial" w:cs="Arial"/>
        </w:rPr>
        <w:t xml:space="preserve">PURA’s aim is to establish a transparent </w:t>
      </w:r>
      <w:r w:rsidRPr="00007910" w:rsidR="492FB088">
        <w:rPr>
          <w:rStyle w:val="fontstyle01"/>
          <w:rFonts w:ascii="Arial" w:hAnsi="Arial" w:cs="Arial"/>
        </w:rPr>
        <w:t>p</w:t>
      </w:r>
      <w:r w:rsidRPr="00007910" w:rsidR="36F2FCDF">
        <w:rPr>
          <w:rStyle w:val="fontstyle01"/>
          <w:rFonts w:ascii="Arial" w:hAnsi="Arial" w:cs="Arial"/>
        </w:rPr>
        <w:t xml:space="preserve">rocess for comparing potential </w:t>
      </w:r>
      <w:r w:rsidRPr="00007910" w:rsidR="492FB088">
        <w:rPr>
          <w:rStyle w:val="fontstyle01"/>
          <w:rFonts w:ascii="Arial" w:hAnsi="Arial" w:cs="Arial"/>
        </w:rPr>
        <w:t>NWA</w:t>
      </w:r>
      <w:r w:rsidRPr="00007910" w:rsidR="36F2FCDF">
        <w:rPr>
          <w:rStyle w:val="fontstyle01"/>
          <w:rFonts w:ascii="Arial" w:hAnsi="Arial" w:cs="Arial"/>
        </w:rPr>
        <w:t xml:space="preserve"> solutions against traditional distribution system upgrades. </w:t>
      </w:r>
      <w:r w:rsidRPr="00007910" w:rsidR="492FB088">
        <w:rPr>
          <w:rStyle w:val="fontstyle01"/>
          <w:rFonts w:ascii="Arial" w:hAnsi="Arial" w:cs="Arial"/>
        </w:rPr>
        <w:t xml:space="preserve">This process needs to be transparent </w:t>
      </w:r>
      <w:r w:rsidRPr="00007910" w:rsidR="4A2238FA">
        <w:rPr>
          <w:rStyle w:val="fontstyle01"/>
          <w:rFonts w:ascii="Arial" w:hAnsi="Arial" w:cs="Arial"/>
        </w:rPr>
        <w:t xml:space="preserve">to allow </w:t>
      </w:r>
      <w:r w:rsidRPr="00007910" w:rsidR="143DF0A2">
        <w:rPr>
          <w:rStyle w:val="fontstyle01"/>
          <w:rFonts w:ascii="Arial" w:hAnsi="Arial" w:cs="Arial"/>
        </w:rPr>
        <w:t>non-utilit</w:t>
      </w:r>
      <w:r w:rsidRPr="00007910" w:rsidR="4A2238FA">
        <w:rPr>
          <w:rStyle w:val="fontstyle01"/>
          <w:rFonts w:ascii="Arial" w:hAnsi="Arial" w:cs="Arial"/>
        </w:rPr>
        <w:t xml:space="preserve">y </w:t>
      </w:r>
      <w:r w:rsidRPr="00007910" w:rsidR="004D6CFE">
        <w:rPr>
          <w:rStyle w:val="fontstyle01"/>
          <w:rFonts w:ascii="Arial" w:hAnsi="Arial" w:cs="Arial"/>
        </w:rPr>
        <w:t>third parties</w:t>
      </w:r>
      <w:r w:rsidRPr="00007910" w:rsidR="143DF0A2">
        <w:rPr>
          <w:rStyle w:val="fontstyle01"/>
          <w:rFonts w:ascii="Arial" w:hAnsi="Arial" w:cs="Arial"/>
        </w:rPr>
        <w:t xml:space="preserve"> </w:t>
      </w:r>
      <w:r w:rsidRPr="00007910" w:rsidR="008E6E1E">
        <w:rPr>
          <w:rStyle w:val="fontstyle01"/>
          <w:rFonts w:ascii="Arial" w:hAnsi="Arial" w:cs="Arial"/>
        </w:rPr>
        <w:t>t</w:t>
      </w:r>
      <w:r w:rsidRPr="00007910" w:rsidR="00E023D3">
        <w:rPr>
          <w:rStyle w:val="fontstyle01"/>
          <w:rFonts w:ascii="Arial" w:hAnsi="Arial" w:cs="Arial"/>
        </w:rPr>
        <w:t xml:space="preserve">he opportunity </w:t>
      </w:r>
      <w:r w:rsidRPr="00007910" w:rsidR="4A2238FA">
        <w:rPr>
          <w:rStyle w:val="fontstyle01"/>
          <w:rFonts w:ascii="Arial" w:hAnsi="Arial" w:cs="Arial"/>
        </w:rPr>
        <w:t xml:space="preserve">to </w:t>
      </w:r>
      <w:r w:rsidRPr="00007910" w:rsidR="143DF0A2">
        <w:rPr>
          <w:rStyle w:val="fontstyle01"/>
          <w:rFonts w:ascii="Arial" w:hAnsi="Arial" w:cs="Arial"/>
        </w:rPr>
        <w:t xml:space="preserve">provide superior value </w:t>
      </w:r>
      <w:r w:rsidRPr="00007910" w:rsidR="4A2238FA">
        <w:rPr>
          <w:rStyle w:val="fontstyle01"/>
          <w:rFonts w:ascii="Arial" w:hAnsi="Arial" w:cs="Arial"/>
        </w:rPr>
        <w:t xml:space="preserve">in </w:t>
      </w:r>
      <w:r w:rsidRPr="00007910" w:rsidR="143DF0A2">
        <w:rPr>
          <w:rStyle w:val="fontstyle01"/>
          <w:rFonts w:ascii="Arial" w:hAnsi="Arial" w:cs="Arial"/>
        </w:rPr>
        <w:t>meeting distribution system needs</w:t>
      </w:r>
      <w:r w:rsidRPr="00007910" w:rsidR="00100C01">
        <w:rPr>
          <w:rStyle w:val="fontstyle01"/>
          <w:rFonts w:ascii="Arial" w:hAnsi="Arial" w:cs="Arial"/>
        </w:rPr>
        <w:t xml:space="preserve">; those </w:t>
      </w:r>
      <w:r w:rsidRPr="00007910" w:rsidR="00F212B3">
        <w:rPr>
          <w:rStyle w:val="fontstyle01"/>
          <w:rFonts w:ascii="Arial" w:hAnsi="Arial" w:cs="Arial"/>
        </w:rPr>
        <w:t>providers</w:t>
      </w:r>
      <w:r w:rsidRPr="00007910" w:rsidR="00100C01">
        <w:rPr>
          <w:rStyle w:val="fontstyle01"/>
          <w:rFonts w:ascii="Arial" w:hAnsi="Arial" w:cs="Arial"/>
        </w:rPr>
        <w:t xml:space="preserve"> are currently </w:t>
      </w:r>
      <w:r w:rsidRPr="00007910" w:rsidR="3729EC06">
        <w:rPr>
          <w:rStyle w:val="fontstyle01"/>
          <w:rFonts w:ascii="Arial" w:hAnsi="Arial" w:cs="Arial"/>
        </w:rPr>
        <w:t>unable to do so</w:t>
      </w:r>
      <w:r w:rsidRPr="00007910" w:rsidR="143DF0A2">
        <w:rPr>
          <w:rStyle w:val="fontstyle01"/>
          <w:rFonts w:ascii="Arial" w:hAnsi="Arial" w:cs="Arial"/>
        </w:rPr>
        <w:t xml:space="preserve"> without </w:t>
      </w:r>
      <w:r w:rsidRPr="00007910" w:rsidR="00100C01">
        <w:rPr>
          <w:rStyle w:val="fontstyle01"/>
          <w:rFonts w:ascii="Arial" w:hAnsi="Arial" w:cs="Arial"/>
        </w:rPr>
        <w:t xml:space="preserve">changes </w:t>
      </w:r>
      <w:r w:rsidRPr="00007910" w:rsidR="008A3A82">
        <w:rPr>
          <w:rStyle w:val="fontstyle01"/>
          <w:rFonts w:ascii="Arial" w:hAnsi="Arial" w:cs="Arial"/>
        </w:rPr>
        <w:t xml:space="preserve">to increase the </w:t>
      </w:r>
      <w:r w:rsidRPr="00007910" w:rsidR="143DF0A2">
        <w:rPr>
          <w:rStyle w:val="fontstyle01"/>
          <w:rFonts w:ascii="Arial" w:hAnsi="Arial" w:cs="Arial"/>
        </w:rPr>
        <w:t xml:space="preserve">transparency of utility grid information. Utility information superiority can stop competition before it ever occurs or ensure </w:t>
      </w:r>
      <w:r w:rsidRPr="00007910" w:rsidR="00610555">
        <w:rPr>
          <w:rStyle w:val="fontstyle01"/>
          <w:rFonts w:ascii="Arial" w:hAnsi="Arial" w:cs="Arial"/>
        </w:rPr>
        <w:t xml:space="preserve">a competitive advantage for </w:t>
      </w:r>
      <w:r w:rsidRPr="00007910" w:rsidR="143DF0A2">
        <w:rPr>
          <w:rStyle w:val="fontstyle01"/>
          <w:rFonts w:ascii="Arial" w:hAnsi="Arial" w:cs="Arial"/>
        </w:rPr>
        <w:t xml:space="preserve">the utility. </w:t>
      </w:r>
      <w:r w:rsidRPr="00007910" w:rsidR="055470A7">
        <w:rPr>
          <w:rStyle w:val="fontstyle01"/>
          <w:rFonts w:ascii="Arial" w:hAnsi="Arial" w:cs="Arial"/>
        </w:rPr>
        <w:t>Consequently</w:t>
      </w:r>
      <w:r w:rsidRPr="00007910" w:rsidR="1662CE70">
        <w:rPr>
          <w:rStyle w:val="fontstyle01"/>
          <w:rFonts w:ascii="Arial" w:hAnsi="Arial" w:cs="Arial"/>
        </w:rPr>
        <w:t>,</w:t>
      </w:r>
      <w:r w:rsidRPr="00007910" w:rsidR="143DF0A2">
        <w:rPr>
          <w:rStyle w:val="fontstyle01"/>
          <w:rFonts w:ascii="Arial" w:hAnsi="Arial" w:cs="Arial"/>
        </w:rPr>
        <w:t xml:space="preserve"> Connecticut needs transparency </w:t>
      </w:r>
      <w:r w:rsidRPr="00007910" w:rsidR="595D4A00">
        <w:rPr>
          <w:rStyle w:val="fontstyle01"/>
          <w:rFonts w:ascii="Arial" w:hAnsi="Arial" w:cs="Arial"/>
        </w:rPr>
        <w:t xml:space="preserve">on how distribution system investment </w:t>
      </w:r>
      <w:r w:rsidRPr="00007910" w:rsidR="6CACCBEB">
        <w:rPr>
          <w:rStyle w:val="fontstyle01"/>
          <w:rFonts w:ascii="Arial" w:hAnsi="Arial" w:cs="Arial"/>
        </w:rPr>
        <w:t>is</w:t>
      </w:r>
      <w:r w:rsidRPr="00007910" w:rsidR="595D4A00">
        <w:rPr>
          <w:rStyle w:val="fontstyle01"/>
          <w:rFonts w:ascii="Arial" w:hAnsi="Arial" w:cs="Arial"/>
        </w:rPr>
        <w:t xml:space="preserve"> considered, what </w:t>
      </w:r>
      <w:r w:rsidRPr="00007910" w:rsidR="2FDFC99B">
        <w:rPr>
          <w:rStyle w:val="fontstyle01"/>
          <w:rFonts w:ascii="Arial" w:hAnsi="Arial" w:cs="Arial"/>
        </w:rPr>
        <w:t xml:space="preserve">distribution </w:t>
      </w:r>
      <w:r w:rsidRPr="00007910" w:rsidR="595D4A00">
        <w:rPr>
          <w:rStyle w:val="fontstyle01"/>
          <w:rFonts w:ascii="Arial" w:hAnsi="Arial" w:cs="Arial"/>
        </w:rPr>
        <w:t>needs exist</w:t>
      </w:r>
      <w:r w:rsidRPr="00007910" w:rsidR="7886BA26">
        <w:rPr>
          <w:rStyle w:val="fontstyle01"/>
          <w:rFonts w:ascii="Arial" w:hAnsi="Arial" w:cs="Arial"/>
        </w:rPr>
        <w:t>,</w:t>
      </w:r>
      <w:r w:rsidRPr="00007910" w:rsidR="595D4A00">
        <w:rPr>
          <w:rStyle w:val="fontstyle01"/>
          <w:rFonts w:ascii="Arial" w:hAnsi="Arial" w:cs="Arial"/>
        </w:rPr>
        <w:t xml:space="preserve"> and a process to share that information with companies offering alternatives</w:t>
      </w:r>
      <w:r w:rsidRPr="00007910" w:rsidR="2FEB4F46">
        <w:rPr>
          <w:rStyle w:val="fontstyle01"/>
          <w:rFonts w:ascii="Arial" w:hAnsi="Arial" w:cs="Arial"/>
        </w:rPr>
        <w:t xml:space="preserve"> years in advance</w:t>
      </w:r>
      <w:r w:rsidRPr="00007910" w:rsidR="595D4A00">
        <w:rPr>
          <w:rStyle w:val="fontstyle01"/>
          <w:rFonts w:ascii="Arial" w:hAnsi="Arial" w:cs="Arial"/>
        </w:rPr>
        <w:t>.</w:t>
      </w:r>
    </w:p>
    <w:p w:rsidRPr="00007910" w:rsidR="00B64E8B" w:rsidP="00A75E2F" w:rsidRDefault="36F2FCDF" w14:paraId="5E702F55" w14:textId="0F14B725">
      <w:pPr>
        <w:jc w:val="both"/>
        <w:rPr>
          <w:rStyle w:val="fontstyle01"/>
          <w:rFonts w:ascii="Arial" w:hAnsi="Arial" w:cs="Arial"/>
        </w:rPr>
      </w:pPr>
      <w:r w:rsidRPr="00007910">
        <w:rPr>
          <w:rStyle w:val="fontstyle01"/>
          <w:rFonts w:ascii="Arial" w:hAnsi="Arial" w:cs="Arial"/>
        </w:rPr>
        <w:t xml:space="preserve">Second, the process </w:t>
      </w:r>
      <w:r w:rsidRPr="00007910">
        <w:rPr>
          <w:rStyle w:val="fontstyle01"/>
          <w:rFonts w:ascii="Arial" w:hAnsi="Arial" w:cs="Arial"/>
          <w:color w:val="000000" w:themeColor="text1"/>
        </w:rPr>
        <w:t xml:space="preserve">aims to </w:t>
      </w:r>
      <w:r w:rsidRPr="00007910">
        <w:rPr>
          <w:rStyle w:val="fontstyle01"/>
          <w:rFonts w:ascii="Arial" w:hAnsi="Arial" w:cs="Arial"/>
        </w:rPr>
        <w:t>leverage competitive forces.</w:t>
      </w:r>
      <w:r w:rsidRPr="00007910" w:rsidR="595D4A00">
        <w:rPr>
          <w:rStyle w:val="fontstyle01"/>
          <w:rFonts w:ascii="Arial" w:hAnsi="Arial" w:cs="Arial"/>
        </w:rPr>
        <w:t xml:space="preserve"> </w:t>
      </w:r>
      <w:r w:rsidRPr="00007910" w:rsidR="3336B541">
        <w:rPr>
          <w:rStyle w:val="fontstyle01"/>
          <w:rFonts w:ascii="Arial" w:hAnsi="Arial" w:cs="Arial"/>
        </w:rPr>
        <w:t>P</w:t>
      </w:r>
      <w:r w:rsidRPr="00007910" w:rsidR="595D4A00">
        <w:rPr>
          <w:rStyle w:val="fontstyle01"/>
          <w:rFonts w:ascii="Arial" w:hAnsi="Arial" w:cs="Arial"/>
        </w:rPr>
        <w:t xml:space="preserve">roperly harnessed </w:t>
      </w:r>
      <w:r w:rsidRPr="00007910" w:rsidR="3336B541">
        <w:rPr>
          <w:rStyle w:val="fontstyle01"/>
          <w:rFonts w:ascii="Arial" w:hAnsi="Arial" w:cs="Arial"/>
        </w:rPr>
        <w:t xml:space="preserve">competition </w:t>
      </w:r>
      <w:r w:rsidRPr="00007910" w:rsidR="595D4A00">
        <w:rPr>
          <w:rStyle w:val="fontstyle01"/>
          <w:rFonts w:ascii="Arial" w:hAnsi="Arial" w:cs="Arial"/>
        </w:rPr>
        <w:t>can bring down prices to consumers and improve service. Because competition for utility distribution services is now able to be competitive, PURA recognizes th</w:t>
      </w:r>
      <w:r w:rsidRPr="00007910" w:rsidR="578198BD">
        <w:rPr>
          <w:rStyle w:val="fontstyle01"/>
          <w:rFonts w:ascii="Arial" w:hAnsi="Arial" w:cs="Arial"/>
        </w:rPr>
        <w:t>is</w:t>
      </w:r>
      <w:r w:rsidRPr="00007910" w:rsidR="595D4A00">
        <w:rPr>
          <w:rStyle w:val="fontstyle01"/>
          <w:rFonts w:ascii="Arial" w:hAnsi="Arial" w:cs="Arial"/>
        </w:rPr>
        <w:t xml:space="preserve"> reality and </w:t>
      </w:r>
      <w:r w:rsidRPr="00007910" w:rsidR="00533E46">
        <w:rPr>
          <w:rStyle w:val="fontstyle01"/>
          <w:rFonts w:ascii="Arial" w:hAnsi="Arial" w:cs="Arial"/>
        </w:rPr>
        <w:t>the potential for</w:t>
      </w:r>
      <w:r w:rsidRPr="00007910" w:rsidR="00493C1F">
        <w:rPr>
          <w:rStyle w:val="fontstyle01"/>
          <w:rFonts w:ascii="Arial" w:hAnsi="Arial" w:cs="Arial"/>
        </w:rPr>
        <w:t xml:space="preserve"> alternative </w:t>
      </w:r>
      <w:r w:rsidRPr="00007910" w:rsidR="00A66706">
        <w:rPr>
          <w:rStyle w:val="fontstyle01"/>
          <w:rFonts w:ascii="Arial" w:hAnsi="Arial" w:cs="Arial"/>
        </w:rPr>
        <w:t>measures</w:t>
      </w:r>
      <w:r w:rsidRPr="00007910" w:rsidR="00493C1F">
        <w:rPr>
          <w:rStyle w:val="fontstyle01"/>
          <w:rFonts w:ascii="Arial" w:hAnsi="Arial" w:cs="Arial"/>
        </w:rPr>
        <w:t xml:space="preserve"> to provide</w:t>
      </w:r>
      <w:r w:rsidRPr="00007910" w:rsidR="005A4F6B">
        <w:rPr>
          <w:rStyle w:val="fontstyle01"/>
          <w:rFonts w:ascii="Arial" w:hAnsi="Arial" w:cs="Arial"/>
        </w:rPr>
        <w:t xml:space="preserve"> superior </w:t>
      </w:r>
      <w:r w:rsidRPr="00007910" w:rsidR="00A66706">
        <w:rPr>
          <w:rStyle w:val="fontstyle01"/>
          <w:rFonts w:ascii="Arial" w:hAnsi="Arial" w:cs="Arial"/>
        </w:rPr>
        <w:t>solutions</w:t>
      </w:r>
      <w:r w:rsidRPr="00007910" w:rsidR="00493C1F">
        <w:rPr>
          <w:rStyle w:val="fontstyle01"/>
          <w:rFonts w:ascii="Arial" w:hAnsi="Arial" w:cs="Arial"/>
        </w:rPr>
        <w:t xml:space="preserve"> </w:t>
      </w:r>
      <w:r w:rsidRPr="00007910" w:rsidR="005A4F6B">
        <w:rPr>
          <w:rStyle w:val="fontstyle01"/>
          <w:rFonts w:ascii="Arial" w:hAnsi="Arial" w:cs="Arial"/>
        </w:rPr>
        <w:t xml:space="preserve">in some regards to traditional utility upgrades. </w:t>
      </w:r>
    </w:p>
    <w:p w:rsidRPr="00007910" w:rsidR="00A71D00" w:rsidP="00A75E2F" w:rsidRDefault="00B64E8B" w14:paraId="77C6291C" w14:textId="3C858BEC">
      <w:pPr>
        <w:jc w:val="both"/>
        <w:rPr>
          <w:rStyle w:val="fontstyle01"/>
          <w:rFonts w:ascii="Arial" w:hAnsi="Arial" w:cs="Arial"/>
        </w:rPr>
      </w:pPr>
      <w:r w:rsidRPr="00007910">
        <w:rPr>
          <w:rStyle w:val="fontstyle01"/>
          <w:rFonts w:ascii="Arial" w:hAnsi="Arial" w:cs="Arial"/>
        </w:rPr>
        <w:t xml:space="preserve">Third, the process should fully capture all </w:t>
      </w:r>
      <w:r w:rsidRPr="00007910" w:rsidR="00B54066">
        <w:rPr>
          <w:rStyle w:val="fontstyle01"/>
          <w:rFonts w:ascii="Arial" w:hAnsi="Arial" w:cs="Arial"/>
        </w:rPr>
        <w:t xml:space="preserve">reasonable </w:t>
      </w:r>
      <w:r w:rsidRPr="00007910">
        <w:rPr>
          <w:rStyle w:val="fontstyle01"/>
          <w:rFonts w:ascii="Arial" w:hAnsi="Arial" w:cs="Arial"/>
        </w:rPr>
        <w:t>benefits that solutions provide to and for Connecticut customers.</w:t>
      </w:r>
      <w:r w:rsidRPr="00007910" w:rsidR="00B86CE2">
        <w:rPr>
          <w:rStyle w:val="fontstyle01"/>
          <w:rFonts w:ascii="Arial" w:hAnsi="Arial" w:cs="Arial"/>
        </w:rPr>
        <w:t xml:space="preserve"> NWA projects have the possibility of reducing costs. NWAs also may be more reliable</w:t>
      </w:r>
      <w:r w:rsidRPr="00007910" w:rsidR="00D93158">
        <w:rPr>
          <w:rStyle w:val="fontstyle01"/>
          <w:rFonts w:ascii="Arial" w:hAnsi="Arial" w:cs="Arial"/>
        </w:rPr>
        <w:t>,</w:t>
      </w:r>
      <w:r w:rsidRPr="00007910" w:rsidR="00B86CE2">
        <w:rPr>
          <w:rStyle w:val="fontstyle01"/>
          <w:rFonts w:ascii="Arial" w:hAnsi="Arial" w:cs="Arial"/>
        </w:rPr>
        <w:t xml:space="preserve"> as energy efficiency NWA</w:t>
      </w:r>
      <w:r w:rsidRPr="00007910" w:rsidR="00D93158">
        <w:rPr>
          <w:rStyle w:val="fontstyle01"/>
          <w:rFonts w:ascii="Arial" w:hAnsi="Arial" w:cs="Arial"/>
        </w:rPr>
        <w:t>s</w:t>
      </w:r>
      <w:r w:rsidRPr="00007910" w:rsidR="00B86CE2">
        <w:rPr>
          <w:rStyle w:val="fontstyle01"/>
          <w:rFonts w:ascii="Arial" w:hAnsi="Arial" w:cs="Arial"/>
        </w:rPr>
        <w:t xml:space="preserve"> in Vermont ha</w:t>
      </w:r>
      <w:r w:rsidR="00C32061">
        <w:rPr>
          <w:rStyle w:val="fontstyle01"/>
          <w:rFonts w:ascii="Arial" w:hAnsi="Arial" w:cs="Arial"/>
        </w:rPr>
        <w:t>ve</w:t>
      </w:r>
      <w:r w:rsidRPr="00007910" w:rsidR="00B86CE2">
        <w:rPr>
          <w:rStyle w:val="fontstyle01"/>
          <w:rFonts w:ascii="Arial" w:hAnsi="Arial" w:cs="Arial"/>
        </w:rPr>
        <w:t xml:space="preserve"> shown. </w:t>
      </w:r>
      <w:r w:rsidRPr="00007910" w:rsidR="00EC4B4D">
        <w:rPr>
          <w:rStyle w:val="fontstyle01"/>
          <w:rFonts w:ascii="Arial" w:hAnsi="Arial" w:cs="Arial"/>
        </w:rPr>
        <w:t>Values beyond the distribution system should be captured to</w:t>
      </w:r>
      <w:r w:rsidRPr="00007910" w:rsidR="00EC148F">
        <w:rPr>
          <w:rStyle w:val="fontstyle01"/>
          <w:rFonts w:ascii="Arial" w:hAnsi="Arial" w:cs="Arial"/>
        </w:rPr>
        <w:t>o</w:t>
      </w:r>
      <w:r w:rsidRPr="00007910" w:rsidR="00EC4B4D">
        <w:rPr>
          <w:rStyle w:val="fontstyle01"/>
          <w:rFonts w:ascii="Arial" w:hAnsi="Arial" w:cs="Arial"/>
        </w:rPr>
        <w:t xml:space="preserve"> when reducing the expense of transmission, capacity</w:t>
      </w:r>
      <w:r w:rsidRPr="00007910" w:rsidR="004977D0">
        <w:rPr>
          <w:rStyle w:val="fontstyle01"/>
          <w:rFonts w:ascii="Arial" w:hAnsi="Arial" w:cs="Arial"/>
        </w:rPr>
        <w:t>,</w:t>
      </w:r>
      <w:r w:rsidRPr="00007910" w:rsidR="00EC4B4D">
        <w:rPr>
          <w:rStyle w:val="fontstyle01"/>
          <w:rFonts w:ascii="Arial" w:hAnsi="Arial" w:cs="Arial"/>
        </w:rPr>
        <w:t xml:space="preserve"> and peak energy supply payments by Connecticut’s customers </w:t>
      </w:r>
      <w:r w:rsidRPr="00007910" w:rsidR="00EC148F">
        <w:rPr>
          <w:rStyle w:val="fontstyle01"/>
          <w:rFonts w:ascii="Arial" w:hAnsi="Arial" w:cs="Arial"/>
        </w:rPr>
        <w:t xml:space="preserve">results from </w:t>
      </w:r>
      <w:r w:rsidRPr="00007910" w:rsidR="00EC4B4D">
        <w:rPr>
          <w:rStyle w:val="fontstyle01"/>
          <w:rFonts w:ascii="Arial" w:hAnsi="Arial" w:cs="Arial"/>
        </w:rPr>
        <w:t xml:space="preserve">a distribution NWA. </w:t>
      </w:r>
      <w:r w:rsidRPr="00007910" w:rsidR="00EC148F">
        <w:rPr>
          <w:rStyle w:val="fontstyle01"/>
          <w:rFonts w:ascii="Arial" w:hAnsi="Arial" w:cs="Arial"/>
        </w:rPr>
        <w:t>B</w:t>
      </w:r>
      <w:r w:rsidRPr="00007910" w:rsidR="00EC4B4D">
        <w:rPr>
          <w:rStyle w:val="fontstyle01"/>
          <w:rFonts w:ascii="Arial" w:hAnsi="Arial" w:cs="Arial"/>
        </w:rPr>
        <w:t>ulk-power and regional market savings on the wholesale side</w:t>
      </w:r>
      <w:r w:rsidRPr="00007910" w:rsidR="00EC148F">
        <w:rPr>
          <w:rStyle w:val="fontstyle01"/>
          <w:rFonts w:ascii="Arial" w:hAnsi="Arial" w:cs="Arial"/>
        </w:rPr>
        <w:t xml:space="preserve"> </w:t>
      </w:r>
      <w:r w:rsidRPr="00007910" w:rsidR="007F0712">
        <w:rPr>
          <w:rStyle w:val="fontstyle01"/>
          <w:rFonts w:ascii="Arial" w:hAnsi="Arial" w:cs="Arial"/>
        </w:rPr>
        <w:t>can provide substantial savings too.</w:t>
      </w:r>
      <w:r w:rsidRPr="00007910" w:rsidR="00B86CE2">
        <w:rPr>
          <w:rStyle w:val="fontstyle01"/>
          <w:rFonts w:ascii="Arial" w:hAnsi="Arial" w:cs="Arial"/>
        </w:rPr>
        <w:t xml:space="preserve"> Other solutions </w:t>
      </w:r>
      <w:r w:rsidR="00C32061">
        <w:rPr>
          <w:rStyle w:val="fontstyle01"/>
          <w:rFonts w:ascii="Arial" w:hAnsi="Arial" w:cs="Arial"/>
        </w:rPr>
        <w:t>that</w:t>
      </w:r>
      <w:r w:rsidRPr="00007910" w:rsidR="00C32061">
        <w:rPr>
          <w:rStyle w:val="fontstyle01"/>
          <w:rFonts w:ascii="Arial" w:hAnsi="Arial" w:cs="Arial"/>
        </w:rPr>
        <w:t xml:space="preserve"> </w:t>
      </w:r>
      <w:r w:rsidRPr="00007910" w:rsidR="007F0712">
        <w:rPr>
          <w:rStyle w:val="fontstyle01"/>
          <w:rFonts w:ascii="Arial" w:hAnsi="Arial" w:cs="Arial"/>
        </w:rPr>
        <w:t xml:space="preserve">combine </w:t>
      </w:r>
      <w:r w:rsidRPr="00007910" w:rsidR="00B86CE2">
        <w:rPr>
          <w:rStyle w:val="fontstyle01"/>
          <w:rFonts w:ascii="Arial" w:hAnsi="Arial" w:cs="Arial"/>
        </w:rPr>
        <w:t xml:space="preserve">resources </w:t>
      </w:r>
      <w:r w:rsidRPr="00007910" w:rsidR="00B54066">
        <w:rPr>
          <w:rStyle w:val="fontstyle01"/>
          <w:rFonts w:ascii="Arial" w:hAnsi="Arial" w:cs="Arial"/>
        </w:rPr>
        <w:t xml:space="preserve">might service distribution system needs </w:t>
      </w:r>
      <w:proofErr w:type="gramStart"/>
      <w:r w:rsidRPr="00007910" w:rsidR="00B54066">
        <w:rPr>
          <w:rStyle w:val="fontstyle01"/>
          <w:rFonts w:ascii="Arial" w:hAnsi="Arial" w:cs="Arial"/>
        </w:rPr>
        <w:t>and also</w:t>
      </w:r>
      <w:proofErr w:type="gramEnd"/>
      <w:r w:rsidRPr="00007910" w:rsidR="00B54066">
        <w:rPr>
          <w:rStyle w:val="fontstyle01"/>
          <w:rFonts w:ascii="Arial" w:hAnsi="Arial" w:cs="Arial"/>
        </w:rPr>
        <w:t xml:space="preserve"> provide enhanced customer resilience for storm operations through islanding, microgrid</w:t>
      </w:r>
      <w:r w:rsidRPr="00007910" w:rsidR="00F36D7B">
        <w:rPr>
          <w:rStyle w:val="fontstyle01"/>
          <w:rFonts w:ascii="Arial" w:hAnsi="Arial" w:cs="Arial"/>
        </w:rPr>
        <w:t>,</w:t>
      </w:r>
      <w:r w:rsidRPr="00007910" w:rsidR="00B54066">
        <w:rPr>
          <w:rStyle w:val="fontstyle01"/>
          <w:rFonts w:ascii="Arial" w:hAnsi="Arial" w:cs="Arial"/>
        </w:rPr>
        <w:t xml:space="preserve"> or behind-the-meter solutions that simultaneously address distribution system needs. </w:t>
      </w:r>
    </w:p>
    <w:p w:rsidRPr="00007910" w:rsidR="00B64E8B" w:rsidP="00A75E2F" w:rsidRDefault="00B64E8B" w14:paraId="32C342A5" w14:textId="1192636C">
      <w:pPr>
        <w:jc w:val="both"/>
        <w:rPr>
          <w:rStyle w:val="fontstyle01"/>
          <w:rFonts w:ascii="Arial" w:hAnsi="Arial" w:cs="Arial"/>
        </w:rPr>
      </w:pPr>
      <w:r w:rsidRPr="00007910">
        <w:rPr>
          <w:rStyle w:val="fontstyle01"/>
          <w:rFonts w:ascii="Arial" w:hAnsi="Arial" w:cs="Arial"/>
        </w:rPr>
        <w:t xml:space="preserve">Fourth, the process should maximize benefits to Connecticut’s </w:t>
      </w:r>
      <w:r w:rsidRPr="00007910" w:rsidR="00B54066">
        <w:rPr>
          <w:rStyle w:val="fontstyle01"/>
          <w:rFonts w:ascii="Arial" w:hAnsi="Arial" w:cs="Arial"/>
        </w:rPr>
        <w:t xml:space="preserve">customers in implementing Connecticut’s </w:t>
      </w:r>
      <w:r w:rsidRPr="00007910" w:rsidR="009920DB">
        <w:rPr>
          <w:rStyle w:val="fontstyle01"/>
          <w:rFonts w:ascii="Arial" w:hAnsi="Arial" w:cs="Arial"/>
        </w:rPr>
        <w:t xml:space="preserve">Global Warming Solutions Act, renewable energy goals codified under the State’s Renewable Portfolio Standard, more than a decade of supportive climate and clean energy legislation starting with Public Act 11-80, DEEP’s Comprehensive Energy </w:t>
      </w:r>
      <w:r w:rsidRPr="00007910" w:rsidR="009920DB">
        <w:rPr>
          <w:rStyle w:val="fontstyle01"/>
          <w:rFonts w:ascii="Arial" w:hAnsi="Arial" w:cs="Arial"/>
        </w:rPr>
        <w:lastRenderedPageBreak/>
        <w:t>Strategy</w:t>
      </w:r>
      <w:r w:rsidRPr="00007910" w:rsidR="00D276CD">
        <w:rPr>
          <w:rStyle w:val="FootnoteReference"/>
          <w:rFonts w:cs="Arial"/>
          <w:color w:val="000000"/>
          <w:szCs w:val="24"/>
        </w:rPr>
        <w:footnoteReference w:id="8"/>
      </w:r>
      <w:r w:rsidRPr="00007910" w:rsidR="009920DB">
        <w:rPr>
          <w:rStyle w:val="fontstyle01"/>
          <w:rFonts w:ascii="Arial" w:hAnsi="Arial" w:cs="Arial"/>
        </w:rPr>
        <w:t xml:space="preserve"> and Integrated Resources Plan, and the Authority’s Framework for An Equitable Modern Grid.</w:t>
      </w:r>
    </w:p>
    <w:p w:rsidRPr="00007910" w:rsidR="00967F1F" w:rsidP="00A75E2F" w:rsidRDefault="00A2065E" w14:paraId="60396DDF" w14:textId="7397EA99">
      <w:pPr>
        <w:jc w:val="both"/>
        <w:rPr>
          <w:rStyle w:val="fontstyle01"/>
          <w:rFonts w:ascii="Arial" w:hAnsi="Arial" w:cs="Arial"/>
        </w:rPr>
      </w:pPr>
      <w:hyperlink w:history="1" r:id="rId13">
        <w:r w:rsidRPr="00A75E2F" w:rsidR="00D1176A">
          <w:rPr>
            <w:rStyle w:val="fontstyle01"/>
            <w:rFonts w:ascii="Arial" w:hAnsi="Arial" w:cs="Arial"/>
          </w:rPr>
          <w:t>The Authority set forth the</w:t>
        </w:r>
        <w:r w:rsidRPr="00A75E2F" w:rsidR="00CF6F24">
          <w:rPr>
            <w:rStyle w:val="fontstyle01"/>
            <w:rFonts w:ascii="Arial" w:hAnsi="Arial" w:cs="Arial"/>
          </w:rPr>
          <w:t xml:space="preserve"> following</w:t>
        </w:r>
        <w:r w:rsidRPr="00A75E2F" w:rsidR="00D1176A">
          <w:rPr>
            <w:rStyle w:val="fontstyle01"/>
            <w:rFonts w:ascii="Arial" w:hAnsi="Arial" w:cs="Arial"/>
          </w:rPr>
          <w:t xml:space="preserve"> objectives in its</w:t>
        </w:r>
        <w:r w:rsidRPr="00A75E2F" w:rsidR="009920DB">
          <w:rPr>
            <w:rStyle w:val="fontstyle01"/>
            <w:rFonts w:ascii="Arial" w:hAnsi="Arial" w:cs="Arial"/>
          </w:rPr>
          <w:t xml:space="preserve"> Equitable Modern Grid Interim Decision, pp. 3-4</w:t>
        </w:r>
      </w:hyperlink>
      <w:r w:rsidRPr="00007910" w:rsidR="009920DB">
        <w:rPr>
          <w:rStyle w:val="fontstyle01"/>
          <w:rFonts w:ascii="Arial" w:hAnsi="Arial" w:cs="Arial"/>
        </w:rPr>
        <w:t xml:space="preserve">: </w:t>
      </w:r>
    </w:p>
    <w:p w:rsidRPr="00007910" w:rsidR="00967F1F" w:rsidP="00D1176A" w:rsidRDefault="00967F1F" w14:paraId="243B65A8" w14:textId="264D65DC">
      <w:pPr>
        <w:ind w:left="720"/>
        <w:rPr>
          <w:rStyle w:val="fontstyle01"/>
          <w:rFonts w:ascii="Arial" w:hAnsi="Arial" w:cs="Arial"/>
        </w:rPr>
      </w:pPr>
      <w:r w:rsidRPr="00007910">
        <w:rPr>
          <w:rFonts w:ascii="Arial" w:hAnsi="Arial" w:cs="Arial"/>
          <w:sz w:val="24"/>
          <w:szCs w:val="24"/>
        </w:rPr>
        <w:t>The Framework</w:t>
      </w:r>
      <w:r w:rsidRPr="00007910" w:rsidR="00D1176A">
        <w:rPr>
          <w:rFonts w:ascii="Arial" w:hAnsi="Arial" w:cs="Arial"/>
          <w:sz w:val="24"/>
          <w:szCs w:val="24"/>
        </w:rPr>
        <w:t xml:space="preserve"> . . .</w:t>
      </w:r>
      <w:r w:rsidRPr="00007910">
        <w:rPr>
          <w:rFonts w:ascii="Arial" w:hAnsi="Arial" w:cs="Arial"/>
          <w:sz w:val="24"/>
          <w:szCs w:val="24"/>
        </w:rPr>
        <w:t xml:space="preserve"> is consistent with the clear policy directive of the General Assembly over the past decade as first expressed in Public Act 11-80, </w:t>
      </w:r>
      <w:r w:rsidRPr="00A75E2F">
        <w:rPr>
          <w:rFonts w:ascii="Arial" w:hAnsi="Arial" w:cs="Arial"/>
          <w:sz w:val="24"/>
          <w:szCs w:val="24"/>
          <w:u w:val="single"/>
        </w:rPr>
        <w:t>An Act Concerning the Establishment of the Department of Energy and Environmental Protection and Planning for Connecticut’s Energy Future</w:t>
      </w:r>
      <w:r w:rsidRPr="00007910">
        <w:rPr>
          <w:rFonts w:ascii="Arial" w:hAnsi="Arial" w:cs="Arial"/>
          <w:sz w:val="24"/>
          <w:szCs w:val="24"/>
        </w:rPr>
        <w:t>. In the years since enactment of Public Act 11-80, an impressive suite of varied energy policies have been considered by the General Assembly; however, not all of these initiatives have been incorporated into utility plans or reflected in the Authority’s approach to regulation. Thus, the Framework will endeavor to maximize the benefits associated with energy policies duly adopted by State policymakers by addressing any lingering barriers to their cost-effective proliferation through a comprehensive, overarching planning process.</w:t>
      </w:r>
    </w:p>
    <w:p w:rsidR="00B54066" w:rsidRDefault="00F445DF" w14:paraId="6720FDCB" w14:textId="67CA38BB">
      <w:pPr>
        <w:ind w:left="720"/>
        <w:rPr>
          <w:rFonts w:ascii="Arial" w:hAnsi="Arial" w:cs="Arial"/>
          <w:sz w:val="24"/>
          <w:szCs w:val="24"/>
        </w:rPr>
      </w:pPr>
      <w:r w:rsidRPr="00007910">
        <w:rPr>
          <w:rFonts w:ascii="Arial" w:hAnsi="Arial" w:cs="Arial"/>
          <w:sz w:val="24"/>
          <w:szCs w:val="24"/>
        </w:rPr>
        <w:t>T</w:t>
      </w:r>
      <w:r w:rsidRPr="00007910" w:rsidR="009920DB">
        <w:rPr>
          <w:rFonts w:ascii="Arial" w:hAnsi="Arial" w:cs="Arial"/>
          <w:sz w:val="24"/>
          <w:szCs w:val="24"/>
        </w:rPr>
        <w:t xml:space="preserve">he Authority’s Framework for an Equitable Modern Grid will enable an economy-wide transition to a decarbonized future (objective 2) by not only planning for the decarbonization of power generation, but also for the transportation sector and building heating and cooling sectors. The Framework will leverage the work of the </w:t>
      </w:r>
      <w:r w:rsidRPr="00007910" w:rsidR="00E26F21">
        <w:rPr>
          <w:rFonts w:ascii="Arial" w:hAnsi="Arial" w:cs="Arial"/>
          <w:sz w:val="24"/>
          <w:szCs w:val="24"/>
        </w:rPr>
        <w:t>[</w:t>
      </w:r>
      <w:r w:rsidRPr="00007910" w:rsidR="009920DB">
        <w:rPr>
          <w:rFonts w:ascii="Arial" w:hAnsi="Arial" w:cs="Arial"/>
          <w:sz w:val="24"/>
          <w:szCs w:val="24"/>
        </w:rPr>
        <w:t>DEEP</w:t>
      </w:r>
      <w:r w:rsidRPr="00007910" w:rsidR="00E26F21">
        <w:rPr>
          <w:rFonts w:ascii="Arial" w:hAnsi="Arial" w:cs="Arial"/>
          <w:sz w:val="24"/>
          <w:szCs w:val="24"/>
        </w:rPr>
        <w:t xml:space="preserve">] </w:t>
      </w:r>
      <w:r w:rsidRPr="00007910" w:rsidR="009920DB">
        <w:rPr>
          <w:rFonts w:ascii="Arial" w:hAnsi="Arial" w:cs="Arial"/>
          <w:sz w:val="24"/>
          <w:szCs w:val="24"/>
        </w:rPr>
        <w:t xml:space="preserve">in analyzing pathways to a 100 percent zero carbon target for the electric grid by 2040 in the Integrated Resource Plan (IRP) and will ensure that cost-effective, efficient approaches are in place to deliver on those pathways. </w:t>
      </w:r>
      <w:r w:rsidRPr="00007910" w:rsidR="009920DB">
        <w:rPr>
          <w:rFonts w:ascii="Arial" w:hAnsi="Arial" w:cs="Arial"/>
          <w:i/>
          <w:iCs/>
          <w:sz w:val="24"/>
          <w:szCs w:val="24"/>
        </w:rPr>
        <w:t>The Framework will investigate the barriers to, and improve the integration of, distributed energy resources such as solar PV and electric storage.</w:t>
      </w:r>
      <w:r w:rsidRPr="00007910" w:rsidR="009920DB">
        <w:rPr>
          <w:rFonts w:ascii="Arial" w:hAnsi="Arial" w:cs="Arial"/>
          <w:sz w:val="24"/>
          <w:szCs w:val="24"/>
        </w:rPr>
        <w:t xml:space="preserve"> Moreover, the Framework will ensure that the electric sector is positioned to facilitate the deployment of ZEVs and renewable thermal technologies (RTTs) as a pathway to decarbonization.</w:t>
      </w:r>
      <w:r w:rsidRPr="00007910" w:rsidR="00D1176A">
        <w:rPr>
          <w:rFonts w:ascii="Arial" w:hAnsi="Arial" w:cs="Arial"/>
          <w:sz w:val="24"/>
          <w:szCs w:val="24"/>
        </w:rPr>
        <w:t xml:space="preserve"> (emphasis added, footnotes omitted)</w:t>
      </w:r>
    </w:p>
    <w:p w:rsidR="007F6D74" w:rsidP="007F6D74" w:rsidRDefault="007F6D74" w14:paraId="767CC00E" w14:textId="76C38231">
      <w:pPr>
        <w:rPr>
          <w:rFonts w:ascii="Arial" w:hAnsi="Arial" w:cs="Arial"/>
          <w:sz w:val="24"/>
          <w:szCs w:val="24"/>
        </w:rPr>
      </w:pPr>
    </w:p>
    <w:p w:rsidR="007F6D74" w:rsidP="007F6D74" w:rsidRDefault="007F6D74" w14:paraId="2667A613" w14:textId="715AF4AD">
      <w:pPr>
        <w:rPr>
          <w:rFonts w:ascii="Arial" w:hAnsi="Arial" w:cs="Arial"/>
          <w:sz w:val="24"/>
          <w:szCs w:val="24"/>
        </w:rPr>
      </w:pPr>
    </w:p>
    <w:p w:rsidRPr="007F6D74" w:rsidR="00F0374A" w:rsidP="00CE2B5F" w:rsidRDefault="007F6D74" w14:paraId="07839D3E" w14:textId="0B92BDEF">
      <w:pPr>
        <w:pStyle w:val="ListParagraph"/>
        <w:numPr>
          <w:ilvl w:val="0"/>
          <w:numId w:val="4"/>
        </w:numPr>
        <w:rPr>
          <w:rStyle w:val="fontstyle01"/>
          <w:rFonts w:ascii="Arial" w:hAnsi="Arial" w:cs="Arial"/>
          <w:b/>
          <w:bCs/>
        </w:rPr>
      </w:pPr>
      <w:r>
        <w:rPr>
          <w:rStyle w:val="fontstyle01"/>
          <w:rFonts w:ascii="Arial" w:hAnsi="Arial" w:cs="Arial"/>
          <w:color w:val="auto"/>
        </w:rPr>
        <w:br w:type="page"/>
      </w:r>
      <w:r w:rsidRPr="007F6D74" w:rsidR="00F0374A">
        <w:rPr>
          <w:rStyle w:val="fontstyle01"/>
          <w:rFonts w:ascii="Arial" w:hAnsi="Arial" w:cs="Arial"/>
          <w:b/>
          <w:bCs/>
        </w:rPr>
        <w:lastRenderedPageBreak/>
        <w:t>PROGRAM DESIGN</w:t>
      </w:r>
      <w:r w:rsidRPr="007F6D74" w:rsidR="00F0374A">
        <w:rPr>
          <w:rStyle w:val="fontstyle01"/>
          <w:rFonts w:ascii="Arial" w:hAnsi="Arial" w:cs="Arial"/>
          <w:b/>
          <w:bCs/>
        </w:rPr>
        <w:br/>
      </w:r>
    </w:p>
    <w:p w:rsidRPr="00007910" w:rsidR="00EE7F31" w:rsidP="00F0374A" w:rsidRDefault="00F0374A" w14:paraId="64C78250" w14:textId="77777777">
      <w:pPr>
        <w:pStyle w:val="ListParagraph"/>
        <w:numPr>
          <w:ilvl w:val="1"/>
          <w:numId w:val="4"/>
        </w:numPr>
        <w:rPr>
          <w:rStyle w:val="fontstyle01"/>
          <w:rFonts w:ascii="Arial" w:hAnsi="Arial" w:cs="Arial"/>
        </w:rPr>
      </w:pPr>
      <w:r w:rsidRPr="00007910">
        <w:rPr>
          <w:rStyle w:val="fontstyle01"/>
          <w:rFonts w:ascii="Arial" w:hAnsi="Arial" w:cs="Arial"/>
          <w:b/>
          <w:bCs/>
        </w:rPr>
        <w:t>Program Summary</w:t>
      </w:r>
    </w:p>
    <w:p w:rsidRPr="00007910" w:rsidR="00EE7F31" w:rsidP="00A75E2F" w:rsidRDefault="00EE7F31" w14:paraId="1CC9E7BA" w14:textId="1F7FA418">
      <w:pPr>
        <w:jc w:val="both"/>
        <w:rPr>
          <w:rStyle w:val="fontstyle01"/>
          <w:rFonts w:ascii="Arial" w:hAnsi="Arial" w:cs="Arial"/>
        </w:rPr>
      </w:pPr>
      <w:r w:rsidRPr="00007910">
        <w:rPr>
          <w:rStyle w:val="fontstyle01"/>
          <w:rFonts w:ascii="Arial" w:hAnsi="Arial" w:cs="Arial"/>
        </w:rPr>
        <w:t>The NWA Solutions</w:t>
      </w:r>
      <w:r w:rsidRPr="00007910" w:rsidR="006317F3">
        <w:rPr>
          <w:rStyle w:val="fontstyle01"/>
          <w:rFonts w:ascii="Arial" w:hAnsi="Arial" w:cs="Arial"/>
        </w:rPr>
        <w:t xml:space="preserve"> Program</w:t>
      </w:r>
      <w:r w:rsidRPr="00007910">
        <w:rPr>
          <w:rStyle w:val="fontstyle01"/>
          <w:rFonts w:ascii="Arial" w:hAnsi="Arial" w:cs="Arial"/>
        </w:rPr>
        <w:t xml:space="preserve"> will rely upon input from the EDCs, DEEP, the OCC</w:t>
      </w:r>
      <w:r w:rsidRPr="00007910" w:rsidR="29984CD6">
        <w:rPr>
          <w:rStyle w:val="fontstyle01"/>
          <w:rFonts w:ascii="Arial" w:hAnsi="Arial" w:cs="Arial"/>
        </w:rPr>
        <w:t>, the Connecticut Green Bank,</w:t>
      </w:r>
      <w:r w:rsidRPr="00007910">
        <w:rPr>
          <w:rStyle w:val="fontstyle01"/>
          <w:rFonts w:ascii="Arial" w:hAnsi="Arial" w:cs="Arial"/>
        </w:rPr>
        <w:t xml:space="preserve"> and stakeholders to identify appropriate</w:t>
      </w:r>
      <w:r w:rsidRPr="00007910" w:rsidR="0055775B">
        <w:rPr>
          <w:rStyle w:val="fontstyle01"/>
          <w:rFonts w:ascii="Arial" w:hAnsi="Arial" w:cs="Arial"/>
        </w:rPr>
        <w:t xml:space="preserve"> NWAs</w:t>
      </w:r>
      <w:r w:rsidRPr="00007910">
        <w:rPr>
          <w:rStyle w:val="fontstyle01"/>
          <w:rFonts w:ascii="Arial" w:hAnsi="Arial" w:cs="Arial"/>
        </w:rPr>
        <w:t xml:space="preserve"> from among all proposed distribution system investments over $500,000 in any year on any feeder, circuit</w:t>
      </w:r>
      <w:r w:rsidRPr="00007910" w:rsidR="00313195">
        <w:rPr>
          <w:rStyle w:val="fontstyle01"/>
          <w:rFonts w:ascii="Arial" w:hAnsi="Arial" w:cs="Arial"/>
        </w:rPr>
        <w:t>,</w:t>
      </w:r>
      <w:r w:rsidRPr="00007910">
        <w:rPr>
          <w:rStyle w:val="fontstyle01"/>
          <w:rFonts w:ascii="Arial" w:hAnsi="Arial" w:cs="Arial"/>
        </w:rPr>
        <w:t xml:space="preserve"> or substation. Those</w:t>
      </w:r>
      <w:r w:rsidRPr="00007910" w:rsidR="0055775B">
        <w:rPr>
          <w:rStyle w:val="fontstyle01"/>
          <w:rFonts w:ascii="Arial" w:hAnsi="Arial" w:cs="Arial"/>
        </w:rPr>
        <w:t xml:space="preserve"> distribution system</w:t>
      </w:r>
      <w:r w:rsidRPr="00007910">
        <w:rPr>
          <w:rStyle w:val="fontstyle01"/>
          <w:rFonts w:ascii="Arial" w:hAnsi="Arial" w:cs="Arial"/>
        </w:rPr>
        <w:t xml:space="preserve"> needs </w:t>
      </w:r>
      <w:r w:rsidRPr="00007910" w:rsidR="00DF65F4">
        <w:rPr>
          <w:rStyle w:val="fontstyle01"/>
          <w:rFonts w:ascii="Arial" w:hAnsi="Arial" w:cs="Arial"/>
        </w:rPr>
        <w:t xml:space="preserve">shall </w:t>
      </w:r>
      <w:r w:rsidRPr="00007910">
        <w:rPr>
          <w:rStyle w:val="fontstyle01"/>
          <w:rFonts w:ascii="Arial" w:hAnsi="Arial" w:cs="Arial"/>
        </w:rPr>
        <w:t xml:space="preserve">be identified at least five years before any planned utility investments to address anticipated </w:t>
      </w:r>
      <w:r w:rsidRPr="00007910" w:rsidR="417F69FE">
        <w:rPr>
          <w:rStyle w:val="fontstyle01"/>
          <w:rFonts w:ascii="Arial" w:hAnsi="Arial" w:cs="Arial"/>
        </w:rPr>
        <w:t xml:space="preserve">reliability </w:t>
      </w:r>
      <w:r w:rsidRPr="00007910">
        <w:rPr>
          <w:rStyle w:val="fontstyle01"/>
          <w:rFonts w:ascii="Arial" w:hAnsi="Arial" w:cs="Arial"/>
        </w:rPr>
        <w:t>violations</w:t>
      </w:r>
      <w:r w:rsidRPr="00007910" w:rsidR="7E19D814">
        <w:rPr>
          <w:rStyle w:val="fontstyle01"/>
          <w:rFonts w:ascii="Arial" w:hAnsi="Arial" w:cs="Arial"/>
        </w:rPr>
        <w:t>, resilience standards, infrastructure replacement,</w:t>
      </w:r>
      <w:r w:rsidRPr="00007910">
        <w:rPr>
          <w:rStyle w:val="fontstyle01"/>
          <w:rFonts w:ascii="Arial" w:hAnsi="Arial" w:cs="Arial"/>
        </w:rPr>
        <w:t xml:space="preserve"> or load growth. </w:t>
      </w:r>
      <w:r w:rsidRPr="00007910" w:rsidR="0055775B">
        <w:rPr>
          <w:rStyle w:val="fontstyle01"/>
          <w:rFonts w:ascii="Arial" w:hAnsi="Arial" w:cs="Arial"/>
        </w:rPr>
        <w:t xml:space="preserve">The Authority </w:t>
      </w:r>
      <w:r w:rsidRPr="00007910" w:rsidR="009920DB">
        <w:rPr>
          <w:rStyle w:val="fontstyle01"/>
          <w:rFonts w:ascii="Arial" w:hAnsi="Arial" w:cs="Arial"/>
        </w:rPr>
        <w:t xml:space="preserve">expects </w:t>
      </w:r>
      <w:r w:rsidRPr="00007910" w:rsidR="0055775B">
        <w:rPr>
          <w:rStyle w:val="fontstyle01"/>
          <w:rFonts w:ascii="Arial" w:hAnsi="Arial" w:cs="Arial"/>
        </w:rPr>
        <w:t xml:space="preserve">the EDCs </w:t>
      </w:r>
      <w:r w:rsidRPr="00007910" w:rsidR="009920DB">
        <w:rPr>
          <w:rStyle w:val="fontstyle01"/>
          <w:rFonts w:ascii="Arial" w:hAnsi="Arial" w:cs="Arial"/>
        </w:rPr>
        <w:t xml:space="preserve">to </w:t>
      </w:r>
      <w:r w:rsidRPr="00007910" w:rsidR="00BD05AF">
        <w:rPr>
          <w:rStyle w:val="fontstyle01"/>
          <w:rFonts w:ascii="Arial" w:hAnsi="Arial" w:cs="Arial"/>
        </w:rPr>
        <w:t xml:space="preserve">identify distribution system upgrades </w:t>
      </w:r>
      <w:proofErr w:type="gramStart"/>
      <w:r w:rsidRPr="00007910" w:rsidR="00BD05AF">
        <w:rPr>
          <w:rStyle w:val="fontstyle01"/>
          <w:rFonts w:ascii="Arial" w:hAnsi="Arial" w:cs="Arial"/>
        </w:rPr>
        <w:t>as a result of</w:t>
      </w:r>
      <w:proofErr w:type="gramEnd"/>
      <w:r w:rsidRPr="00007910" w:rsidR="00BD05AF">
        <w:rPr>
          <w:rStyle w:val="fontstyle01"/>
          <w:rFonts w:ascii="Arial" w:hAnsi="Arial" w:cs="Arial"/>
        </w:rPr>
        <w:t xml:space="preserve"> their capital and operational planning to ensure reliability, safety</w:t>
      </w:r>
      <w:r w:rsidRPr="00007910" w:rsidR="00474DA9">
        <w:rPr>
          <w:rStyle w:val="fontstyle01"/>
          <w:rFonts w:ascii="Arial" w:hAnsi="Arial" w:cs="Arial"/>
        </w:rPr>
        <w:t>,</w:t>
      </w:r>
      <w:r w:rsidRPr="00007910" w:rsidR="00BD05AF">
        <w:rPr>
          <w:rStyle w:val="fontstyle01"/>
          <w:rFonts w:ascii="Arial" w:hAnsi="Arial" w:cs="Arial"/>
        </w:rPr>
        <w:t xml:space="preserve"> and adequate service in light of changing customer needs including increased levels of distributed energy resources (DERs) and </w:t>
      </w:r>
      <w:r w:rsidRPr="00007910" w:rsidR="008B21C1">
        <w:rPr>
          <w:rStyle w:val="fontstyle01"/>
          <w:rFonts w:ascii="Arial" w:hAnsi="Arial" w:cs="Arial"/>
        </w:rPr>
        <w:t>beneficial</w:t>
      </w:r>
      <w:r w:rsidRPr="00007910" w:rsidR="00BD05AF">
        <w:rPr>
          <w:rStyle w:val="fontstyle01"/>
          <w:rFonts w:ascii="Arial" w:hAnsi="Arial" w:cs="Arial"/>
        </w:rPr>
        <w:t xml:space="preserve"> </w:t>
      </w:r>
      <w:r w:rsidRPr="00007910" w:rsidR="008B21C1">
        <w:rPr>
          <w:rStyle w:val="fontstyle01"/>
          <w:rFonts w:ascii="Arial" w:hAnsi="Arial" w:cs="Arial"/>
        </w:rPr>
        <w:t>electrification</w:t>
      </w:r>
      <w:r w:rsidRPr="00007910" w:rsidR="00BD05AF">
        <w:rPr>
          <w:rStyle w:val="fontstyle01"/>
          <w:rFonts w:ascii="Arial" w:hAnsi="Arial" w:cs="Arial"/>
        </w:rPr>
        <w:t>.</w:t>
      </w:r>
    </w:p>
    <w:p w:rsidRPr="00007910" w:rsidR="00673338" w:rsidP="00A75E2F" w:rsidRDefault="00EE7F31" w14:paraId="1E1B3F6D" w14:textId="2FF2600F">
      <w:pPr>
        <w:jc w:val="both"/>
        <w:rPr>
          <w:rStyle w:val="fontstyle01"/>
          <w:rFonts w:ascii="Arial" w:hAnsi="Arial" w:cs="Arial"/>
        </w:rPr>
      </w:pPr>
      <w:r w:rsidRPr="00007910">
        <w:rPr>
          <w:rStyle w:val="fontstyle01"/>
          <w:rFonts w:ascii="Arial" w:hAnsi="Arial" w:cs="Arial"/>
        </w:rPr>
        <w:t>The Authority will rely upon an independent third-party NWA administrator working as a consultant to PURA to review submissions from EDCs</w:t>
      </w:r>
      <w:r w:rsidRPr="00007910" w:rsidR="00BD05AF">
        <w:rPr>
          <w:rStyle w:val="fontstyle01"/>
          <w:rFonts w:ascii="Arial" w:hAnsi="Arial" w:cs="Arial"/>
        </w:rPr>
        <w:t xml:space="preserve"> on all distribution system investments over $500,000 as well as proposals and comments of</w:t>
      </w:r>
      <w:r w:rsidRPr="00007910">
        <w:rPr>
          <w:rStyle w:val="fontstyle01"/>
          <w:rFonts w:ascii="Arial" w:hAnsi="Arial" w:cs="Arial"/>
        </w:rPr>
        <w:t xml:space="preserve"> </w:t>
      </w:r>
      <w:r w:rsidRPr="00007910" w:rsidR="008B21C1">
        <w:rPr>
          <w:rStyle w:val="fontstyle01"/>
          <w:rFonts w:ascii="Arial" w:hAnsi="Arial" w:cs="Arial"/>
        </w:rPr>
        <w:t>third parties</w:t>
      </w:r>
      <w:r w:rsidRPr="00007910">
        <w:rPr>
          <w:rStyle w:val="fontstyle01"/>
          <w:rFonts w:ascii="Arial" w:hAnsi="Arial" w:cs="Arial"/>
        </w:rPr>
        <w:t xml:space="preserve">. The independent NWA administrator shall be retained by PURA and be independent of the EDCs and </w:t>
      </w:r>
      <w:r w:rsidRPr="00007910" w:rsidR="00673338">
        <w:rPr>
          <w:rStyle w:val="fontstyle01"/>
          <w:rFonts w:ascii="Arial" w:hAnsi="Arial" w:cs="Arial"/>
        </w:rPr>
        <w:t xml:space="preserve">interested stakeholders. The </w:t>
      </w:r>
      <w:r w:rsidRPr="00007910" w:rsidR="00BD05AF">
        <w:rPr>
          <w:rStyle w:val="fontstyle01"/>
          <w:rFonts w:ascii="Arial" w:hAnsi="Arial" w:cs="Arial"/>
        </w:rPr>
        <w:t xml:space="preserve">NWA </w:t>
      </w:r>
      <w:r w:rsidRPr="00007910" w:rsidR="00673338">
        <w:rPr>
          <w:rStyle w:val="fontstyle01"/>
          <w:rFonts w:ascii="Arial" w:hAnsi="Arial" w:cs="Arial"/>
        </w:rPr>
        <w:t>process shall be conducted in public meeting</w:t>
      </w:r>
      <w:r w:rsidRPr="00007910" w:rsidR="00D64877">
        <w:rPr>
          <w:rStyle w:val="fontstyle01"/>
          <w:rFonts w:ascii="Arial" w:hAnsi="Arial" w:cs="Arial"/>
        </w:rPr>
        <w:t>s</w:t>
      </w:r>
      <w:r w:rsidRPr="00007910" w:rsidR="00673338">
        <w:rPr>
          <w:rStyle w:val="fontstyle01"/>
          <w:rFonts w:ascii="Arial" w:hAnsi="Arial" w:cs="Arial"/>
        </w:rPr>
        <w:t xml:space="preserve"> to the extent feasible and mandated by law. However, a</w:t>
      </w:r>
      <w:r w:rsidRPr="00007910" w:rsidR="00B42D5C">
        <w:rPr>
          <w:rStyle w:val="fontstyle01"/>
          <w:rFonts w:ascii="Arial" w:hAnsi="Arial" w:cs="Arial"/>
        </w:rPr>
        <w:t>t</w:t>
      </w:r>
      <w:r w:rsidRPr="00007910">
        <w:rPr>
          <w:rStyle w:val="fontstyle01"/>
          <w:rFonts w:ascii="Arial" w:hAnsi="Arial" w:cs="Arial"/>
        </w:rPr>
        <w:t xml:space="preserve"> the EDCs</w:t>
      </w:r>
      <w:r w:rsidRPr="00007910" w:rsidR="008115F8">
        <w:rPr>
          <w:rStyle w:val="fontstyle01"/>
          <w:rFonts w:ascii="Arial" w:hAnsi="Arial" w:cs="Arial"/>
        </w:rPr>
        <w:t>’</w:t>
      </w:r>
      <w:r w:rsidRPr="00007910">
        <w:rPr>
          <w:rStyle w:val="fontstyle01"/>
          <w:rFonts w:ascii="Arial" w:hAnsi="Arial" w:cs="Arial"/>
        </w:rPr>
        <w:t xml:space="preserve"> request and</w:t>
      </w:r>
      <w:r w:rsidRPr="00007910" w:rsidR="00FD50FA">
        <w:rPr>
          <w:rStyle w:val="fontstyle01"/>
          <w:rFonts w:ascii="Arial" w:hAnsi="Arial" w:cs="Arial"/>
        </w:rPr>
        <w:t xml:space="preserve"> as</w:t>
      </w:r>
      <w:r w:rsidRPr="00007910">
        <w:rPr>
          <w:rStyle w:val="fontstyle01"/>
          <w:rFonts w:ascii="Arial" w:hAnsi="Arial" w:cs="Arial"/>
        </w:rPr>
        <w:t xml:space="preserve"> PURA finds necessary</w:t>
      </w:r>
      <w:r w:rsidRPr="00007910" w:rsidR="00673338">
        <w:rPr>
          <w:rStyle w:val="fontstyle01"/>
          <w:rFonts w:ascii="Arial" w:hAnsi="Arial" w:cs="Arial"/>
        </w:rPr>
        <w:t xml:space="preserve"> and consistent with </w:t>
      </w:r>
      <w:r w:rsidRPr="00007910" w:rsidR="00D646AA">
        <w:rPr>
          <w:rStyle w:val="fontstyle01"/>
          <w:rFonts w:ascii="Arial" w:hAnsi="Arial" w:cs="Arial"/>
        </w:rPr>
        <w:t xml:space="preserve">the </w:t>
      </w:r>
      <w:r w:rsidRPr="00007910" w:rsidR="00673338">
        <w:rPr>
          <w:rStyle w:val="fontstyle01"/>
          <w:rFonts w:ascii="Arial" w:hAnsi="Arial" w:cs="Arial"/>
        </w:rPr>
        <w:t>law</w:t>
      </w:r>
      <w:r w:rsidRPr="00007910">
        <w:rPr>
          <w:rStyle w:val="fontstyle01"/>
          <w:rFonts w:ascii="Arial" w:hAnsi="Arial" w:cs="Arial"/>
        </w:rPr>
        <w:t>, the independent third-party NWA administrator</w:t>
      </w:r>
      <w:r w:rsidRPr="00007910" w:rsidR="00BD05AF">
        <w:rPr>
          <w:rStyle w:val="fontstyle01"/>
          <w:rFonts w:ascii="Arial" w:hAnsi="Arial" w:cs="Arial"/>
        </w:rPr>
        <w:t xml:space="preserve"> and interested </w:t>
      </w:r>
      <w:r w:rsidRPr="00007910" w:rsidR="008B21C1">
        <w:rPr>
          <w:rStyle w:val="fontstyle01"/>
          <w:rFonts w:ascii="Arial" w:hAnsi="Arial" w:cs="Arial"/>
        </w:rPr>
        <w:t>third parties</w:t>
      </w:r>
      <w:r w:rsidRPr="00007910">
        <w:rPr>
          <w:rStyle w:val="fontstyle01"/>
          <w:rFonts w:ascii="Arial" w:hAnsi="Arial" w:cs="Arial"/>
        </w:rPr>
        <w:t xml:space="preserve"> will execut</w:t>
      </w:r>
      <w:r w:rsidRPr="00007910" w:rsidR="00BD05AF">
        <w:rPr>
          <w:rStyle w:val="fontstyle01"/>
          <w:rFonts w:ascii="Arial" w:hAnsi="Arial" w:cs="Arial"/>
        </w:rPr>
        <w:t>e</w:t>
      </w:r>
      <w:r w:rsidRPr="00007910">
        <w:rPr>
          <w:rStyle w:val="fontstyle01"/>
          <w:rFonts w:ascii="Arial" w:hAnsi="Arial" w:cs="Arial"/>
        </w:rPr>
        <w:t xml:space="preserve"> non-disclosure agreements (NDA’s) and confidential energy infrastructure information (CEII) agreements to review EDC’s projections of violations, </w:t>
      </w:r>
      <w:r w:rsidRPr="00007910" w:rsidR="000B3E2B">
        <w:rPr>
          <w:rStyle w:val="fontstyle01"/>
          <w:rFonts w:ascii="Arial" w:hAnsi="Arial" w:cs="Arial"/>
        </w:rPr>
        <w:t>distribution system needs</w:t>
      </w:r>
      <w:r w:rsidRPr="00007910">
        <w:rPr>
          <w:rStyle w:val="fontstyle01"/>
          <w:rFonts w:ascii="Arial" w:hAnsi="Arial" w:cs="Arial"/>
        </w:rPr>
        <w:t>, and EDC proposed solutions.</w:t>
      </w:r>
    </w:p>
    <w:p w:rsidRPr="00007910" w:rsidR="00F0374A" w:rsidP="00A75E2F" w:rsidRDefault="6F355128" w14:paraId="0A548694" w14:textId="005BF4CC">
      <w:pPr>
        <w:jc w:val="both"/>
        <w:rPr>
          <w:rStyle w:val="fontstyle01"/>
          <w:rFonts w:ascii="Arial" w:hAnsi="Arial" w:cs="Arial"/>
          <w:b/>
          <w:bCs/>
        </w:rPr>
      </w:pPr>
      <w:r w:rsidRPr="00007910">
        <w:rPr>
          <w:rStyle w:val="fontstyle01"/>
          <w:rFonts w:ascii="Arial" w:hAnsi="Arial" w:cs="Arial"/>
        </w:rPr>
        <w:t>It is PURA</w:t>
      </w:r>
      <w:r w:rsidRPr="00007910" w:rsidR="62FB8E16">
        <w:rPr>
          <w:rStyle w:val="fontstyle01"/>
          <w:rFonts w:ascii="Arial" w:hAnsi="Arial" w:cs="Arial"/>
        </w:rPr>
        <w:t>’s</w:t>
      </w:r>
      <w:r w:rsidRPr="00007910">
        <w:rPr>
          <w:rStyle w:val="fontstyle01"/>
          <w:rFonts w:ascii="Arial" w:hAnsi="Arial" w:cs="Arial"/>
        </w:rPr>
        <w:t xml:space="preserve"> intent that all </w:t>
      </w:r>
      <w:r w:rsidRPr="00007910" w:rsidR="4A1800B2">
        <w:rPr>
          <w:rStyle w:val="fontstyle01"/>
          <w:rFonts w:ascii="Arial" w:hAnsi="Arial" w:cs="Arial"/>
        </w:rPr>
        <w:t xml:space="preserve">significant </w:t>
      </w:r>
      <w:r w:rsidRPr="00007910">
        <w:rPr>
          <w:rStyle w:val="fontstyle01"/>
          <w:rFonts w:ascii="Arial" w:hAnsi="Arial" w:cs="Arial"/>
        </w:rPr>
        <w:t>utility investments</w:t>
      </w:r>
      <w:r w:rsidRPr="00007910" w:rsidR="62FB8E16">
        <w:rPr>
          <w:rStyle w:val="fontstyle01"/>
          <w:rFonts w:ascii="Arial" w:hAnsi="Arial" w:cs="Arial"/>
        </w:rPr>
        <w:t xml:space="preserve"> </w:t>
      </w:r>
      <w:r w:rsidRPr="00007910" w:rsidR="467DDD85">
        <w:rPr>
          <w:rStyle w:val="fontstyle01"/>
          <w:rFonts w:ascii="Arial" w:hAnsi="Arial" w:cs="Arial"/>
        </w:rPr>
        <w:t>(</w:t>
      </w:r>
      <w:r w:rsidR="00C32061">
        <w:rPr>
          <w:rStyle w:val="fontstyle01"/>
          <w:rFonts w:ascii="Arial" w:hAnsi="Arial" w:cs="Arial"/>
        </w:rPr>
        <w:t xml:space="preserve">i.e., </w:t>
      </w:r>
      <w:r w:rsidRPr="00007910" w:rsidR="467DDD85">
        <w:rPr>
          <w:rStyle w:val="fontstyle01"/>
          <w:rFonts w:ascii="Arial" w:hAnsi="Arial" w:cs="Arial"/>
        </w:rPr>
        <w:t xml:space="preserve">over $500,000) </w:t>
      </w:r>
      <w:r w:rsidRPr="00007910" w:rsidR="62FB8E16">
        <w:rPr>
          <w:rStyle w:val="fontstyle01"/>
          <w:rFonts w:ascii="Arial" w:hAnsi="Arial" w:cs="Arial"/>
        </w:rPr>
        <w:t>be</w:t>
      </w:r>
      <w:r w:rsidRPr="00007910">
        <w:rPr>
          <w:rStyle w:val="fontstyle01"/>
          <w:rFonts w:ascii="Arial" w:hAnsi="Arial" w:cs="Arial"/>
        </w:rPr>
        <w:t xml:space="preserve"> reviewed by the independent NWA administrator in concert with interested stakeholder</w:t>
      </w:r>
      <w:r w:rsidRPr="00007910" w:rsidR="294FC068">
        <w:rPr>
          <w:rStyle w:val="fontstyle01"/>
          <w:rFonts w:ascii="Arial" w:hAnsi="Arial" w:cs="Arial"/>
        </w:rPr>
        <w:t>s</w:t>
      </w:r>
      <w:r w:rsidRPr="00007910">
        <w:rPr>
          <w:rStyle w:val="fontstyle01"/>
          <w:rFonts w:ascii="Arial" w:hAnsi="Arial" w:cs="Arial"/>
        </w:rPr>
        <w:t>, DEEP</w:t>
      </w:r>
      <w:r w:rsidRPr="00007910" w:rsidR="00727038">
        <w:rPr>
          <w:rStyle w:val="fontstyle01"/>
          <w:rFonts w:ascii="Arial" w:hAnsi="Arial" w:cs="Arial"/>
        </w:rPr>
        <w:t>,</w:t>
      </w:r>
      <w:r w:rsidRPr="00007910">
        <w:rPr>
          <w:rStyle w:val="fontstyle01"/>
          <w:rFonts w:ascii="Arial" w:hAnsi="Arial" w:cs="Arial"/>
        </w:rPr>
        <w:t xml:space="preserve"> and </w:t>
      </w:r>
      <w:r w:rsidR="00C32061">
        <w:rPr>
          <w:rStyle w:val="fontstyle01"/>
          <w:rFonts w:ascii="Arial" w:hAnsi="Arial" w:cs="Arial"/>
        </w:rPr>
        <w:t xml:space="preserve">the </w:t>
      </w:r>
      <w:r w:rsidRPr="00007910">
        <w:rPr>
          <w:rStyle w:val="fontstyle01"/>
          <w:rFonts w:ascii="Arial" w:hAnsi="Arial" w:cs="Arial"/>
        </w:rPr>
        <w:t xml:space="preserve">OCC to </w:t>
      </w:r>
      <w:r w:rsidRPr="00007910" w:rsidR="7CB262E4">
        <w:rPr>
          <w:rStyle w:val="fontstyle01"/>
          <w:rFonts w:ascii="Arial" w:hAnsi="Arial" w:cs="Arial"/>
        </w:rPr>
        <w:t>determine</w:t>
      </w:r>
      <w:r w:rsidRPr="00007910">
        <w:rPr>
          <w:rStyle w:val="fontstyle01"/>
          <w:rFonts w:ascii="Arial" w:hAnsi="Arial" w:cs="Arial"/>
        </w:rPr>
        <w:t xml:space="preserve"> if lower-cost and/or more reliable and resilie</w:t>
      </w:r>
      <w:r w:rsidRPr="00007910" w:rsidR="62FB8E16">
        <w:rPr>
          <w:rStyle w:val="fontstyle01"/>
          <w:rFonts w:ascii="Arial" w:hAnsi="Arial" w:cs="Arial"/>
        </w:rPr>
        <w:t>nt</w:t>
      </w:r>
      <w:r w:rsidRPr="00007910">
        <w:rPr>
          <w:rStyle w:val="fontstyle01"/>
          <w:rFonts w:ascii="Arial" w:hAnsi="Arial" w:cs="Arial"/>
        </w:rPr>
        <w:t xml:space="preserve"> alternatives to a traditional utility project are feasible and cost</w:t>
      </w:r>
      <w:r w:rsidR="00C32061">
        <w:rPr>
          <w:rStyle w:val="fontstyle01"/>
          <w:rFonts w:ascii="Arial" w:hAnsi="Arial" w:cs="Arial"/>
        </w:rPr>
        <w:t xml:space="preserve"> </w:t>
      </w:r>
      <w:r w:rsidRPr="00007910">
        <w:rPr>
          <w:rStyle w:val="fontstyle01"/>
          <w:rFonts w:ascii="Arial" w:hAnsi="Arial" w:cs="Arial"/>
        </w:rPr>
        <w:t>effective.</w:t>
      </w:r>
      <w:r w:rsidRPr="00007910" w:rsidR="62FB8E16">
        <w:rPr>
          <w:rStyle w:val="fontstyle01"/>
          <w:rFonts w:ascii="Arial" w:hAnsi="Arial" w:cs="Arial"/>
        </w:rPr>
        <w:t xml:space="preserve"> The Authority invites third-party energy companies to participate as stakeholders and potential bidders on NWA projects. It is the Authority’s purpose to enhance a competitive market for alternative energy services in Connecticut and particularly to </w:t>
      </w:r>
      <w:r w:rsidRPr="00007910" w:rsidR="599B27CC">
        <w:rPr>
          <w:rStyle w:val="fontstyle01"/>
          <w:rFonts w:ascii="Arial" w:hAnsi="Arial" w:cs="Arial"/>
        </w:rPr>
        <w:t xml:space="preserve">establish a program to </w:t>
      </w:r>
      <w:r w:rsidRPr="00007910" w:rsidR="62FB8E16">
        <w:rPr>
          <w:rStyle w:val="fontstyle01"/>
          <w:rFonts w:ascii="Arial" w:hAnsi="Arial" w:cs="Arial"/>
        </w:rPr>
        <w:t xml:space="preserve">invite interested </w:t>
      </w:r>
      <w:r w:rsidRPr="00007910" w:rsidR="6CACCBEB">
        <w:rPr>
          <w:rStyle w:val="fontstyle01"/>
          <w:rFonts w:ascii="Arial" w:hAnsi="Arial" w:cs="Arial"/>
        </w:rPr>
        <w:t>third parties</w:t>
      </w:r>
      <w:r w:rsidRPr="00007910" w:rsidR="62FB8E16">
        <w:rPr>
          <w:rStyle w:val="fontstyle01"/>
          <w:rFonts w:ascii="Arial" w:hAnsi="Arial" w:cs="Arial"/>
        </w:rPr>
        <w:t xml:space="preserve"> to participate and submit proposals for any NWA. </w:t>
      </w:r>
    </w:p>
    <w:p w:rsidRPr="00007910" w:rsidR="00F0374A" w:rsidP="00A75E2F" w:rsidRDefault="00AC3585" w14:paraId="1DE8BD84" w14:textId="0EA37B3E">
      <w:pPr>
        <w:jc w:val="both"/>
        <w:rPr>
          <w:rFonts w:ascii="Arial" w:hAnsi="Arial" w:cs="Arial"/>
          <w:sz w:val="24"/>
          <w:szCs w:val="24"/>
        </w:rPr>
      </w:pPr>
      <w:r w:rsidRPr="00007910">
        <w:rPr>
          <w:rStyle w:val="fontstyle01"/>
          <w:rFonts w:ascii="Arial" w:hAnsi="Arial" w:cs="Arial"/>
        </w:rPr>
        <w:t>T</w:t>
      </w:r>
      <w:r w:rsidRPr="00007910" w:rsidR="62FB8E16">
        <w:rPr>
          <w:rStyle w:val="fontstyle01"/>
          <w:rFonts w:ascii="Arial" w:hAnsi="Arial" w:cs="Arial"/>
        </w:rPr>
        <w:t xml:space="preserve">he Authority does not anticipate that potential status as a bidder will be sufficient basis for an EDC or the Third-Party Administrator to deny access to distribution system data to a third-party that agrees to abide by an NDA and CEII agreement as necessary. </w:t>
      </w:r>
      <w:r w:rsidRPr="00007910" w:rsidR="12BB16B7">
        <w:rPr>
          <w:rStyle w:val="fontstyle01"/>
          <w:rFonts w:ascii="Arial" w:hAnsi="Arial" w:cs="Arial"/>
        </w:rPr>
        <w:t>Potential bidders for NWAs, in fact</w:t>
      </w:r>
      <w:r w:rsidRPr="00007910" w:rsidR="4490AE67">
        <w:rPr>
          <w:rStyle w:val="fontstyle01"/>
          <w:rFonts w:ascii="Arial" w:hAnsi="Arial" w:cs="Arial"/>
        </w:rPr>
        <w:t>,</w:t>
      </w:r>
      <w:r w:rsidRPr="00007910" w:rsidR="12BB16B7">
        <w:rPr>
          <w:rStyle w:val="fontstyle01"/>
          <w:rFonts w:ascii="Arial" w:hAnsi="Arial" w:cs="Arial"/>
        </w:rPr>
        <w:t xml:space="preserve"> should have access to inf</w:t>
      </w:r>
      <w:r w:rsidRPr="00007910" w:rsidR="426F04BF">
        <w:rPr>
          <w:rStyle w:val="fontstyle01"/>
          <w:rFonts w:ascii="Arial" w:hAnsi="Arial" w:cs="Arial"/>
        </w:rPr>
        <w:t>ormation on potential NWA needs at the same time the utility evaluates those needs. This mean</w:t>
      </w:r>
      <w:r w:rsidRPr="00007910" w:rsidR="0113E9F1">
        <w:rPr>
          <w:rStyle w:val="fontstyle01"/>
          <w:rFonts w:ascii="Arial" w:hAnsi="Arial" w:cs="Arial"/>
        </w:rPr>
        <w:t xml:space="preserve">s the distribution planning process must be </w:t>
      </w:r>
      <w:r w:rsidRPr="00007910" w:rsidR="0113E9F1">
        <w:rPr>
          <w:rStyle w:val="fontstyle01"/>
          <w:rFonts w:ascii="Arial" w:hAnsi="Arial" w:cs="Arial"/>
          <w:i/>
          <w:iCs/>
        </w:rPr>
        <w:t>much more open and transparent</w:t>
      </w:r>
      <w:r w:rsidRPr="00007910" w:rsidR="0113E9F1">
        <w:rPr>
          <w:rStyle w:val="fontstyle01"/>
          <w:rFonts w:ascii="Arial" w:hAnsi="Arial" w:cs="Arial"/>
        </w:rPr>
        <w:t xml:space="preserve">. </w:t>
      </w:r>
    </w:p>
    <w:p w:rsidRPr="00007910" w:rsidR="00F0374A" w:rsidP="00A75E2F" w:rsidRDefault="63B21EF7" w14:paraId="679A50AB" w14:textId="16B7521C">
      <w:pPr>
        <w:jc w:val="both"/>
        <w:rPr>
          <w:rStyle w:val="fontstyle01"/>
          <w:rFonts w:ascii="Arial" w:hAnsi="Arial" w:cs="Arial"/>
        </w:rPr>
      </w:pPr>
      <w:r w:rsidRPr="00007910">
        <w:rPr>
          <w:rStyle w:val="fontstyle01"/>
          <w:rFonts w:ascii="Arial" w:hAnsi="Arial" w:cs="Arial"/>
        </w:rPr>
        <w:t>In the 21</w:t>
      </w:r>
      <w:r w:rsidRPr="00007910">
        <w:rPr>
          <w:rStyle w:val="fontstyle01"/>
          <w:rFonts w:ascii="Arial" w:hAnsi="Arial" w:cs="Arial"/>
          <w:vertAlign w:val="superscript"/>
        </w:rPr>
        <w:t>st</w:t>
      </w:r>
      <w:r w:rsidRPr="00007910">
        <w:rPr>
          <w:rStyle w:val="fontstyle01"/>
          <w:rFonts w:ascii="Arial" w:hAnsi="Arial" w:cs="Arial"/>
        </w:rPr>
        <w:t xml:space="preserve"> century when NWAs have proven to be cost effective, </w:t>
      </w:r>
      <w:r w:rsidRPr="00007910" w:rsidR="00385EC8">
        <w:rPr>
          <w:rStyle w:val="fontstyle01"/>
          <w:rFonts w:ascii="Arial" w:hAnsi="Arial" w:cs="Arial"/>
        </w:rPr>
        <w:t>distribution system planning</w:t>
      </w:r>
      <w:r w:rsidRPr="00007910" w:rsidR="1BF06DC5">
        <w:rPr>
          <w:rStyle w:val="fontstyle01"/>
          <w:rFonts w:ascii="Arial" w:hAnsi="Arial" w:cs="Arial"/>
        </w:rPr>
        <w:t xml:space="preserve"> need to adjust to the possibility that new technologies make NWAs feasible. </w:t>
      </w:r>
      <w:r w:rsidRPr="00007910" w:rsidR="005A4F6B">
        <w:rPr>
          <w:rStyle w:val="fontstyle01"/>
          <w:rFonts w:ascii="Arial" w:hAnsi="Arial" w:cs="Arial"/>
        </w:rPr>
        <w:t>While both utilities and non-utility third-party energy provider</w:t>
      </w:r>
      <w:r w:rsidRPr="00007910" w:rsidR="000D60B4">
        <w:rPr>
          <w:rStyle w:val="fontstyle01"/>
          <w:rFonts w:ascii="Arial" w:hAnsi="Arial" w:cs="Arial"/>
        </w:rPr>
        <w:t>s</w:t>
      </w:r>
      <w:r w:rsidRPr="00007910" w:rsidR="005A4F6B">
        <w:rPr>
          <w:rStyle w:val="fontstyle01"/>
          <w:rFonts w:ascii="Arial" w:hAnsi="Arial" w:cs="Arial"/>
        </w:rPr>
        <w:t xml:space="preserve"> can design and implement </w:t>
      </w:r>
      <w:r w:rsidRPr="00007910" w:rsidR="005A4F6B">
        <w:rPr>
          <w:rStyle w:val="fontstyle01"/>
          <w:rFonts w:ascii="Arial" w:hAnsi="Arial" w:cs="Arial"/>
        </w:rPr>
        <w:lastRenderedPageBreak/>
        <w:t>NWA</w:t>
      </w:r>
      <w:r w:rsidRPr="00007910" w:rsidR="701870F3">
        <w:rPr>
          <w:rStyle w:val="fontstyle01"/>
          <w:rFonts w:ascii="Arial" w:hAnsi="Arial" w:cs="Arial"/>
        </w:rPr>
        <w:t>s</w:t>
      </w:r>
      <w:r w:rsidRPr="00007910" w:rsidR="005A4F6B">
        <w:rPr>
          <w:rStyle w:val="fontstyle01"/>
          <w:rFonts w:ascii="Arial" w:hAnsi="Arial" w:cs="Arial"/>
        </w:rPr>
        <w:t xml:space="preserve">, the Authority is </w:t>
      </w:r>
      <w:r w:rsidRPr="00007910" w:rsidR="009E65CE">
        <w:rPr>
          <w:rStyle w:val="fontstyle01"/>
          <w:rFonts w:ascii="Arial" w:hAnsi="Arial" w:cs="Arial"/>
        </w:rPr>
        <w:t>focused</w:t>
      </w:r>
      <w:r w:rsidRPr="00007910" w:rsidR="005A4F6B">
        <w:rPr>
          <w:rStyle w:val="fontstyle01"/>
          <w:rFonts w:ascii="Arial" w:hAnsi="Arial" w:cs="Arial"/>
        </w:rPr>
        <w:t xml:space="preserve"> on ensuring that the process is fair so that non-utility providers can compete to offer innovative solutions that may either be less expensive or provide superior services. As utilities develop better and more sophisticated data monitoring, SCADA, </w:t>
      </w:r>
      <w:r w:rsidR="00222C43">
        <w:rPr>
          <w:rStyle w:val="fontstyle01"/>
          <w:rFonts w:ascii="Arial" w:hAnsi="Arial" w:cs="Arial"/>
        </w:rPr>
        <w:t xml:space="preserve">and </w:t>
      </w:r>
      <w:r w:rsidRPr="00007910" w:rsidR="005A4F6B">
        <w:rPr>
          <w:rStyle w:val="fontstyle01"/>
          <w:rFonts w:ascii="Arial" w:hAnsi="Arial" w:cs="Arial"/>
        </w:rPr>
        <w:t>load monitoring information technology, these systems will need to be designed to provide information</w:t>
      </w:r>
      <w:r w:rsidRPr="00007910" w:rsidR="3F9A56D4">
        <w:rPr>
          <w:rStyle w:val="fontstyle01"/>
          <w:rFonts w:ascii="Arial" w:hAnsi="Arial" w:cs="Arial"/>
        </w:rPr>
        <w:t>, or enable provision of information with minimal effort,</w:t>
      </w:r>
      <w:r w:rsidRPr="00007910" w:rsidR="005A4F6B">
        <w:rPr>
          <w:rStyle w:val="fontstyle01"/>
          <w:rFonts w:ascii="Arial" w:hAnsi="Arial" w:cs="Arial"/>
        </w:rPr>
        <w:t xml:space="preserve"> to third</w:t>
      </w:r>
      <w:r w:rsidR="00222C43">
        <w:rPr>
          <w:rStyle w:val="fontstyle01"/>
          <w:rFonts w:ascii="Arial" w:hAnsi="Arial" w:cs="Arial"/>
        </w:rPr>
        <w:t xml:space="preserve"> </w:t>
      </w:r>
      <w:r w:rsidRPr="00007910" w:rsidR="005A4F6B">
        <w:rPr>
          <w:rStyle w:val="fontstyle01"/>
          <w:rFonts w:ascii="Arial" w:hAnsi="Arial" w:cs="Arial"/>
        </w:rPr>
        <w:t>part</w:t>
      </w:r>
      <w:r w:rsidR="00222C43">
        <w:rPr>
          <w:rStyle w:val="fontstyle01"/>
          <w:rFonts w:ascii="Arial" w:hAnsi="Arial" w:cs="Arial"/>
        </w:rPr>
        <w:t>ies</w:t>
      </w:r>
      <w:r w:rsidRPr="00007910" w:rsidR="005A4F6B">
        <w:rPr>
          <w:rStyle w:val="fontstyle01"/>
          <w:rFonts w:ascii="Arial" w:hAnsi="Arial" w:cs="Arial"/>
        </w:rPr>
        <w:t xml:space="preserve"> on hourly and sub</w:t>
      </w:r>
      <w:r w:rsidR="00222C43">
        <w:rPr>
          <w:rStyle w:val="fontstyle01"/>
          <w:rFonts w:ascii="Arial" w:hAnsi="Arial" w:cs="Arial"/>
        </w:rPr>
        <w:t>-</w:t>
      </w:r>
      <w:r w:rsidRPr="00007910" w:rsidR="005A4F6B">
        <w:rPr>
          <w:rStyle w:val="fontstyle01"/>
          <w:rFonts w:ascii="Arial" w:hAnsi="Arial" w:cs="Arial"/>
        </w:rPr>
        <w:t>hourly feeder and substation</w:t>
      </w:r>
      <w:r w:rsidRPr="00007910" w:rsidR="0A7FBF8E">
        <w:rPr>
          <w:rStyle w:val="fontstyle01"/>
          <w:rFonts w:ascii="Arial" w:hAnsi="Arial" w:cs="Arial"/>
        </w:rPr>
        <w:t>,</w:t>
      </w:r>
      <w:r w:rsidRPr="00007910" w:rsidR="005A4F6B">
        <w:rPr>
          <w:rStyle w:val="fontstyle01"/>
          <w:rFonts w:ascii="Arial" w:hAnsi="Arial" w:cs="Arial"/>
        </w:rPr>
        <w:t xml:space="preserve"> voltage and thermal </w:t>
      </w:r>
      <w:r w:rsidRPr="00007910" w:rsidR="485563AD">
        <w:rPr>
          <w:rStyle w:val="fontstyle01"/>
          <w:rFonts w:ascii="Arial" w:hAnsi="Arial" w:cs="Arial"/>
        </w:rPr>
        <w:t xml:space="preserve">levels and </w:t>
      </w:r>
      <w:r w:rsidRPr="00007910" w:rsidR="004B78BB">
        <w:rPr>
          <w:rStyle w:val="fontstyle01"/>
          <w:rFonts w:ascii="Arial" w:hAnsi="Arial" w:cs="Arial"/>
        </w:rPr>
        <w:t>limits, for example, to level the information</w:t>
      </w:r>
      <w:r w:rsidRPr="00007910" w:rsidR="00CB8855">
        <w:rPr>
          <w:rStyle w:val="fontstyle01"/>
          <w:rFonts w:ascii="Arial" w:hAnsi="Arial" w:cs="Arial"/>
        </w:rPr>
        <w:t xml:space="preserve"> </w:t>
      </w:r>
      <w:r w:rsidRPr="00007910" w:rsidR="004B78BB">
        <w:rPr>
          <w:rStyle w:val="fontstyle01"/>
          <w:rFonts w:ascii="Arial" w:hAnsi="Arial" w:cs="Arial"/>
        </w:rPr>
        <w:t>playing field</w:t>
      </w:r>
      <w:r w:rsidRPr="00007910" w:rsidR="48B24580">
        <w:rPr>
          <w:rStyle w:val="fontstyle01"/>
          <w:rFonts w:ascii="Arial" w:hAnsi="Arial" w:cs="Arial"/>
        </w:rPr>
        <w:t xml:space="preserve"> so third parties can offer NWAs</w:t>
      </w:r>
      <w:r w:rsidRPr="00007910" w:rsidR="61EB1430">
        <w:rPr>
          <w:rStyle w:val="fontstyle01"/>
          <w:rFonts w:ascii="Arial" w:hAnsi="Arial" w:cs="Arial"/>
        </w:rPr>
        <w:t xml:space="preserve"> (as well as a number of other third party uses for that data)</w:t>
      </w:r>
      <w:r w:rsidRPr="00007910" w:rsidR="004B78BB">
        <w:rPr>
          <w:rStyle w:val="fontstyle01"/>
          <w:rFonts w:ascii="Arial" w:hAnsi="Arial" w:cs="Arial"/>
        </w:rPr>
        <w:t>.</w:t>
      </w:r>
    </w:p>
    <w:p w:rsidRPr="00007910" w:rsidR="009B515A" w:rsidP="009B515A" w:rsidRDefault="009B515A" w14:paraId="7CB7C5E5" w14:textId="5ABAD197">
      <w:pPr>
        <w:pStyle w:val="ListParagraph"/>
        <w:numPr>
          <w:ilvl w:val="1"/>
          <w:numId w:val="4"/>
        </w:numPr>
        <w:rPr>
          <w:rStyle w:val="fontstyle01"/>
          <w:rFonts w:ascii="Arial" w:hAnsi="Arial" w:cs="Arial"/>
        </w:rPr>
      </w:pPr>
      <w:r w:rsidRPr="00007910">
        <w:rPr>
          <w:rStyle w:val="fontstyle01"/>
          <w:rFonts w:ascii="Arial" w:hAnsi="Arial" w:cs="Arial"/>
          <w:b/>
          <w:bCs/>
        </w:rPr>
        <w:t>Program Administration</w:t>
      </w:r>
    </w:p>
    <w:p w:rsidRPr="00007910" w:rsidR="00BD1038" w:rsidP="00A75E2F" w:rsidRDefault="00673338" w14:paraId="1C0493C4" w14:textId="1816A884">
      <w:pPr>
        <w:jc w:val="both"/>
        <w:rPr>
          <w:rStyle w:val="fontstyle01"/>
          <w:rFonts w:ascii="Arial" w:hAnsi="Arial" w:cs="Arial"/>
        </w:rPr>
      </w:pPr>
      <w:r w:rsidRPr="00007910">
        <w:rPr>
          <w:rStyle w:val="fontstyle01"/>
          <w:rFonts w:ascii="Arial" w:hAnsi="Arial" w:cs="Arial"/>
        </w:rPr>
        <w:t xml:space="preserve">As noted, the program </w:t>
      </w:r>
      <w:r w:rsidRPr="00007910" w:rsidR="008B21C1">
        <w:rPr>
          <w:rStyle w:val="fontstyle01"/>
          <w:rFonts w:ascii="Arial" w:hAnsi="Arial" w:cs="Arial"/>
        </w:rPr>
        <w:t>will</w:t>
      </w:r>
      <w:r w:rsidRPr="00007910">
        <w:rPr>
          <w:rStyle w:val="fontstyle01"/>
          <w:rFonts w:ascii="Arial" w:hAnsi="Arial" w:cs="Arial"/>
        </w:rPr>
        <w:t xml:space="preserve"> be administ</w:t>
      </w:r>
      <w:r w:rsidRPr="00007910" w:rsidR="008B21C1">
        <w:rPr>
          <w:rStyle w:val="fontstyle01"/>
          <w:rFonts w:ascii="Arial" w:hAnsi="Arial" w:cs="Arial"/>
        </w:rPr>
        <w:t>e</w:t>
      </w:r>
      <w:r w:rsidRPr="00007910">
        <w:rPr>
          <w:rStyle w:val="fontstyle01"/>
          <w:rFonts w:ascii="Arial" w:hAnsi="Arial" w:cs="Arial"/>
        </w:rPr>
        <w:t xml:space="preserve">red by a </w:t>
      </w:r>
      <w:r w:rsidRPr="00007910" w:rsidR="00D258FA">
        <w:rPr>
          <w:rStyle w:val="fontstyle01"/>
          <w:rFonts w:ascii="Arial" w:hAnsi="Arial" w:cs="Arial"/>
        </w:rPr>
        <w:t>t</w:t>
      </w:r>
      <w:r w:rsidRPr="00007910">
        <w:rPr>
          <w:rStyle w:val="fontstyle01"/>
          <w:rFonts w:ascii="Arial" w:hAnsi="Arial" w:cs="Arial"/>
        </w:rPr>
        <w:t>hird-party NWA administrato</w:t>
      </w:r>
      <w:r w:rsidRPr="00007910" w:rsidR="00BD1038">
        <w:rPr>
          <w:rStyle w:val="fontstyle01"/>
          <w:rFonts w:ascii="Arial" w:hAnsi="Arial" w:cs="Arial"/>
        </w:rPr>
        <w:t xml:space="preserve">r </w:t>
      </w:r>
      <w:r w:rsidRPr="00007910" w:rsidR="00D258FA">
        <w:rPr>
          <w:rStyle w:val="fontstyle01"/>
          <w:rFonts w:ascii="Arial" w:hAnsi="Arial" w:cs="Arial"/>
        </w:rPr>
        <w:t xml:space="preserve">(Third-Party Administrator) </w:t>
      </w:r>
      <w:r w:rsidRPr="00007910">
        <w:rPr>
          <w:rStyle w:val="fontstyle01"/>
          <w:rFonts w:ascii="Arial" w:hAnsi="Arial" w:cs="Arial"/>
        </w:rPr>
        <w:t>retained by and working as a consultant to the Authority</w:t>
      </w:r>
      <w:r w:rsidRPr="00007910" w:rsidR="000B3751">
        <w:rPr>
          <w:rStyle w:val="fontstyle01"/>
          <w:rFonts w:ascii="Arial" w:hAnsi="Arial" w:cs="Arial"/>
        </w:rPr>
        <w:t xml:space="preserve">, independent of the </w:t>
      </w:r>
      <w:r w:rsidRPr="00007910" w:rsidR="00814DAE">
        <w:rPr>
          <w:rStyle w:val="fontstyle01"/>
          <w:rFonts w:ascii="Arial" w:hAnsi="Arial" w:cs="Arial"/>
        </w:rPr>
        <w:t xml:space="preserve">EDCs </w:t>
      </w:r>
      <w:r w:rsidRPr="00007910" w:rsidR="000B3751">
        <w:rPr>
          <w:rStyle w:val="fontstyle01"/>
          <w:rFonts w:ascii="Arial" w:hAnsi="Arial" w:cs="Arial"/>
        </w:rPr>
        <w:t>and other stakeholders</w:t>
      </w:r>
      <w:r w:rsidRPr="00007910">
        <w:rPr>
          <w:rStyle w:val="fontstyle01"/>
          <w:rFonts w:ascii="Arial" w:hAnsi="Arial" w:cs="Arial"/>
        </w:rPr>
        <w:t xml:space="preserve">.  </w:t>
      </w:r>
    </w:p>
    <w:p w:rsidRPr="00007910" w:rsidR="00D258FA" w:rsidP="00A75E2F" w:rsidRDefault="6F355128" w14:paraId="2614B55C" w14:textId="43A240C1">
      <w:pPr>
        <w:pStyle w:val="ListParagraph"/>
        <w:ind w:left="0"/>
        <w:jc w:val="both"/>
        <w:rPr>
          <w:rStyle w:val="FootnoteReference"/>
          <w:rFonts w:cs="Arial"/>
          <w:color w:val="000000"/>
        </w:rPr>
      </w:pPr>
      <w:r w:rsidRPr="00007910">
        <w:rPr>
          <w:rStyle w:val="fontstyle01"/>
          <w:rFonts w:ascii="Arial" w:hAnsi="Arial" w:cs="Arial"/>
        </w:rPr>
        <w:t xml:space="preserve">The </w:t>
      </w:r>
      <w:r w:rsidRPr="00007910" w:rsidR="1CC1BD37">
        <w:rPr>
          <w:rStyle w:val="fontstyle01"/>
          <w:rFonts w:ascii="Arial" w:hAnsi="Arial" w:cs="Arial"/>
        </w:rPr>
        <w:t>Third-Party Administrator</w:t>
      </w:r>
      <w:r w:rsidRPr="00007910">
        <w:rPr>
          <w:rStyle w:val="fontstyle01"/>
          <w:rFonts w:ascii="Arial" w:hAnsi="Arial" w:cs="Arial"/>
        </w:rPr>
        <w:t xml:space="preserve"> may itself have expertise in distribution engineering, may retain such expertise</w:t>
      </w:r>
      <w:r w:rsidRPr="00007910" w:rsidR="00B12F27">
        <w:rPr>
          <w:rStyle w:val="fontstyle01"/>
          <w:rFonts w:ascii="Arial" w:hAnsi="Arial" w:cs="Arial"/>
        </w:rPr>
        <w:t>,</w:t>
      </w:r>
      <w:r w:rsidRPr="00007910">
        <w:rPr>
          <w:rStyle w:val="fontstyle01"/>
          <w:rFonts w:ascii="Arial" w:hAnsi="Arial" w:cs="Arial"/>
        </w:rPr>
        <w:t xml:space="preserve"> or PURA may separately retain distribution engineering expertise to work with the NWA </w:t>
      </w:r>
      <w:r w:rsidRPr="00007910" w:rsidR="7CB262E4">
        <w:rPr>
          <w:rStyle w:val="fontstyle01"/>
          <w:rFonts w:ascii="Arial" w:hAnsi="Arial" w:cs="Arial"/>
        </w:rPr>
        <w:t>administrator</w:t>
      </w:r>
      <w:r w:rsidRPr="00007910">
        <w:rPr>
          <w:rStyle w:val="fontstyle01"/>
          <w:rFonts w:ascii="Arial" w:hAnsi="Arial" w:cs="Arial"/>
        </w:rPr>
        <w:t xml:space="preserve"> in reviewing </w:t>
      </w:r>
      <w:r w:rsidRPr="00007910" w:rsidR="1CC1BD37">
        <w:rPr>
          <w:rStyle w:val="fontstyle01"/>
          <w:rFonts w:ascii="Arial" w:hAnsi="Arial" w:cs="Arial"/>
        </w:rPr>
        <w:t>EDC distribution engineering, plans, all projects and</w:t>
      </w:r>
      <w:r w:rsidRPr="00007910">
        <w:rPr>
          <w:rStyle w:val="fontstyle01"/>
          <w:rFonts w:ascii="Arial" w:hAnsi="Arial" w:cs="Arial"/>
        </w:rPr>
        <w:t xml:space="preserve"> submissions</w:t>
      </w:r>
      <w:r w:rsidRPr="00007910" w:rsidR="1CC1BD37">
        <w:rPr>
          <w:rStyle w:val="fontstyle01"/>
          <w:rFonts w:ascii="Arial" w:hAnsi="Arial" w:cs="Arial"/>
        </w:rPr>
        <w:t xml:space="preserve"> for distribution system upgrades over $500,000. The Third-Party Administrator will be able to r</w:t>
      </w:r>
      <w:r w:rsidRPr="00007910">
        <w:rPr>
          <w:rStyle w:val="fontstyle01"/>
          <w:rFonts w:ascii="Arial" w:hAnsi="Arial" w:cs="Arial"/>
        </w:rPr>
        <w:t xml:space="preserve">equest </w:t>
      </w:r>
      <w:r w:rsidRPr="00007910" w:rsidR="1CC1BD37">
        <w:rPr>
          <w:rStyle w:val="fontstyle01"/>
          <w:rFonts w:ascii="Arial" w:hAnsi="Arial" w:cs="Arial"/>
        </w:rPr>
        <w:t xml:space="preserve">EDC </w:t>
      </w:r>
      <w:r w:rsidRPr="00007910">
        <w:rPr>
          <w:rStyle w:val="fontstyle01"/>
          <w:rFonts w:ascii="Arial" w:hAnsi="Arial" w:cs="Arial"/>
        </w:rPr>
        <w:t>information</w:t>
      </w:r>
      <w:r w:rsidRPr="00007910" w:rsidR="1CC1BD37">
        <w:rPr>
          <w:rStyle w:val="fontstyle01"/>
          <w:rFonts w:ascii="Arial" w:hAnsi="Arial" w:cs="Arial"/>
        </w:rPr>
        <w:t xml:space="preserve"> and elevate any disagreements to PURA for expeditious resolution</w:t>
      </w:r>
      <w:r w:rsidRPr="00007910">
        <w:rPr>
          <w:rStyle w:val="fontstyle01"/>
          <w:rFonts w:ascii="Arial" w:hAnsi="Arial" w:cs="Arial"/>
        </w:rPr>
        <w:t>.</w:t>
      </w:r>
      <w:r w:rsidRPr="00007910" w:rsidR="00BD1038">
        <w:rPr>
          <w:rStyle w:val="FootnoteReference"/>
          <w:rFonts w:cs="Arial"/>
          <w:color w:val="000000"/>
        </w:rPr>
        <w:footnoteReference w:id="9"/>
      </w:r>
    </w:p>
    <w:p w:rsidRPr="00007910" w:rsidR="002D24A6" w:rsidP="00A75E2F" w:rsidRDefault="1CC1BD37" w14:paraId="50249746" w14:textId="52345CCF">
      <w:pPr>
        <w:jc w:val="both"/>
        <w:rPr>
          <w:rStyle w:val="fontstyle01"/>
          <w:rFonts w:ascii="Arial" w:hAnsi="Arial" w:cs="Arial"/>
        </w:rPr>
      </w:pPr>
      <w:r w:rsidRPr="00007910">
        <w:rPr>
          <w:rStyle w:val="fontstyle01"/>
          <w:rFonts w:ascii="Arial" w:hAnsi="Arial" w:cs="Arial"/>
        </w:rPr>
        <w:t>The Authority expects the Third-Party Administrator will work with the EDCs,</w:t>
      </w:r>
      <w:r w:rsidRPr="00007910" w:rsidR="31B8321A">
        <w:rPr>
          <w:rStyle w:val="fontstyle01"/>
          <w:rFonts w:ascii="Arial" w:hAnsi="Arial" w:cs="Arial"/>
        </w:rPr>
        <w:t xml:space="preserve"> the Connecticut Green</w:t>
      </w:r>
      <w:r w:rsidRPr="00007910" w:rsidR="00EA72EB">
        <w:rPr>
          <w:rStyle w:val="fontstyle01"/>
          <w:rFonts w:ascii="Arial" w:hAnsi="Arial" w:cs="Arial"/>
        </w:rPr>
        <w:t xml:space="preserve"> B</w:t>
      </w:r>
      <w:r w:rsidRPr="00007910" w:rsidR="31B8321A">
        <w:rPr>
          <w:rStyle w:val="fontstyle01"/>
          <w:rFonts w:ascii="Arial" w:hAnsi="Arial" w:cs="Arial"/>
        </w:rPr>
        <w:t>ank, DEEP, OCC, other</w:t>
      </w:r>
      <w:r w:rsidRPr="00007910">
        <w:rPr>
          <w:rStyle w:val="fontstyle01"/>
          <w:rFonts w:ascii="Arial" w:hAnsi="Arial" w:cs="Arial"/>
        </w:rPr>
        <w:t xml:space="preserve"> stakeholders</w:t>
      </w:r>
      <w:r w:rsidRPr="00007910" w:rsidR="0073422D">
        <w:rPr>
          <w:rStyle w:val="fontstyle01"/>
          <w:rFonts w:ascii="Arial" w:hAnsi="Arial" w:cs="Arial"/>
        </w:rPr>
        <w:t>,</w:t>
      </w:r>
      <w:r w:rsidRPr="00007910">
        <w:rPr>
          <w:rStyle w:val="fontstyle01"/>
          <w:rFonts w:ascii="Arial" w:hAnsi="Arial" w:cs="Arial"/>
        </w:rPr>
        <w:t xml:space="preserve"> and members of the public on a standardized public format to submit information on planned distribution system </w:t>
      </w:r>
      <w:r w:rsidRPr="00007910" w:rsidR="7CB262E4">
        <w:rPr>
          <w:rStyle w:val="fontstyle01"/>
          <w:rFonts w:ascii="Arial" w:hAnsi="Arial" w:cs="Arial"/>
        </w:rPr>
        <w:t>upgrades</w:t>
      </w:r>
      <w:r w:rsidRPr="00007910">
        <w:rPr>
          <w:rStyle w:val="fontstyle01"/>
          <w:rFonts w:ascii="Arial" w:hAnsi="Arial" w:cs="Arial"/>
        </w:rPr>
        <w:t xml:space="preserve"> for NWA process consideration</w:t>
      </w:r>
      <w:r w:rsidRPr="00007910" w:rsidR="3EC98830">
        <w:rPr>
          <w:rStyle w:val="fontstyle01"/>
          <w:rFonts w:ascii="Arial" w:hAnsi="Arial" w:cs="Arial"/>
        </w:rPr>
        <w:t xml:space="preserve"> and examination with potential NWA providers</w:t>
      </w:r>
      <w:r w:rsidRPr="00007910">
        <w:rPr>
          <w:rStyle w:val="fontstyle01"/>
          <w:rFonts w:ascii="Arial" w:hAnsi="Arial" w:cs="Arial"/>
        </w:rPr>
        <w:t>.</w:t>
      </w:r>
    </w:p>
    <w:p w:rsidRPr="00007910" w:rsidR="008F4442" w:rsidP="00A75E2F" w:rsidRDefault="002D24A6" w14:paraId="31D53EEF" w14:textId="3DD9566E">
      <w:pPr>
        <w:jc w:val="both"/>
        <w:rPr>
          <w:rStyle w:val="fontstyle01"/>
          <w:rFonts w:ascii="Arial" w:hAnsi="Arial" w:cs="Arial"/>
        </w:rPr>
      </w:pPr>
      <w:r w:rsidRPr="00007910">
        <w:rPr>
          <w:rStyle w:val="fontstyle01"/>
          <w:rFonts w:ascii="Arial" w:hAnsi="Arial" w:cs="Arial"/>
        </w:rPr>
        <w:t xml:space="preserve">The information which the Authority will expect to be submitted to it </w:t>
      </w:r>
      <w:r w:rsidRPr="00007910" w:rsidR="00D5248E">
        <w:rPr>
          <w:rStyle w:val="fontstyle01"/>
          <w:rFonts w:ascii="Arial" w:hAnsi="Arial" w:cs="Arial"/>
        </w:rPr>
        <w:t>annually</w:t>
      </w:r>
      <w:r w:rsidRPr="00007910">
        <w:rPr>
          <w:rStyle w:val="fontstyle01"/>
          <w:rFonts w:ascii="Arial" w:hAnsi="Arial" w:cs="Arial"/>
        </w:rPr>
        <w:t xml:space="preserve"> through the Third-Party Administrator is outline</w:t>
      </w:r>
      <w:r w:rsidRPr="00007910" w:rsidR="005323B6">
        <w:rPr>
          <w:rStyle w:val="fontstyle01"/>
          <w:rFonts w:ascii="Arial" w:hAnsi="Arial" w:cs="Arial"/>
        </w:rPr>
        <w:t>d</w:t>
      </w:r>
      <w:r w:rsidRPr="00007910">
        <w:rPr>
          <w:rStyle w:val="fontstyle01"/>
          <w:rFonts w:ascii="Arial" w:hAnsi="Arial" w:cs="Arial"/>
        </w:rPr>
        <w:t xml:space="preserve"> in Appendix A to th</w:t>
      </w:r>
      <w:r w:rsidRPr="00007910" w:rsidR="00FD7C69">
        <w:rPr>
          <w:rStyle w:val="fontstyle01"/>
          <w:rFonts w:ascii="Arial" w:hAnsi="Arial" w:cs="Arial"/>
        </w:rPr>
        <w:t>e</w:t>
      </w:r>
      <w:r w:rsidRPr="00007910">
        <w:rPr>
          <w:rStyle w:val="fontstyle01"/>
          <w:rFonts w:ascii="Arial" w:hAnsi="Arial" w:cs="Arial"/>
        </w:rPr>
        <w:t xml:space="preserve"> </w:t>
      </w:r>
      <w:r w:rsidRPr="00007910" w:rsidR="00FD7C69">
        <w:rPr>
          <w:rStyle w:val="fontstyle01"/>
          <w:rFonts w:ascii="Arial" w:hAnsi="Arial" w:cs="Arial"/>
        </w:rPr>
        <w:t>S</w:t>
      </w:r>
      <w:r w:rsidRPr="00007910">
        <w:rPr>
          <w:rStyle w:val="fontstyle01"/>
          <w:rFonts w:ascii="Arial" w:hAnsi="Arial" w:cs="Arial"/>
        </w:rPr>
        <w:t xml:space="preserve">traw </w:t>
      </w:r>
      <w:r w:rsidRPr="00007910" w:rsidR="00FD7C69">
        <w:rPr>
          <w:rStyle w:val="fontstyle01"/>
          <w:rFonts w:ascii="Arial" w:hAnsi="Arial" w:cs="Arial"/>
        </w:rPr>
        <w:t>P</w:t>
      </w:r>
      <w:r w:rsidRPr="00007910">
        <w:rPr>
          <w:rStyle w:val="fontstyle01"/>
          <w:rFonts w:ascii="Arial" w:hAnsi="Arial" w:cs="Arial"/>
        </w:rPr>
        <w:t xml:space="preserve">roposal. This information is necessary for the Third-Party Administrator to evaluate the distribution system upgrades and potential </w:t>
      </w:r>
      <w:r w:rsidRPr="00A75E2F">
        <w:rPr>
          <w:rStyle w:val="fontstyle01"/>
          <w:rFonts w:ascii="Arial" w:hAnsi="Arial" w:cs="Arial"/>
        </w:rPr>
        <w:t>NWA</w:t>
      </w:r>
      <w:r w:rsidRPr="00007910">
        <w:rPr>
          <w:rStyle w:val="fontstyle01"/>
          <w:rFonts w:ascii="Arial" w:hAnsi="Arial" w:cs="Arial"/>
        </w:rPr>
        <w:t>.</w:t>
      </w:r>
      <w:r w:rsidRPr="00007910" w:rsidR="23AE6F2F">
        <w:rPr>
          <w:rStyle w:val="fontstyle01"/>
          <w:rFonts w:ascii="Arial" w:hAnsi="Arial" w:cs="Arial"/>
        </w:rPr>
        <w:t xml:space="preserve"> After the utilities submit this information and the Third-Party Administrator</w:t>
      </w:r>
      <w:r w:rsidRPr="00007910" w:rsidR="59B38A23">
        <w:rPr>
          <w:rStyle w:val="fontstyle01"/>
          <w:rFonts w:ascii="Arial" w:hAnsi="Arial" w:cs="Arial"/>
        </w:rPr>
        <w:t xml:space="preserve"> gains experience reviewing it, PURA may expand or narrow the information</w:t>
      </w:r>
      <w:r w:rsidRPr="00007910" w:rsidR="2AF296E7">
        <w:rPr>
          <w:rStyle w:val="fontstyle01"/>
          <w:rFonts w:ascii="Arial" w:hAnsi="Arial" w:cs="Arial"/>
        </w:rPr>
        <w:t xml:space="preserve"> outlined in Appendix A.</w:t>
      </w:r>
      <w:r w:rsidRPr="00007910">
        <w:rPr>
          <w:rStyle w:val="fontstyle01"/>
          <w:rFonts w:ascii="Arial" w:hAnsi="Arial" w:cs="Arial"/>
        </w:rPr>
        <w:t xml:space="preserve"> The Third-Party Administrator will run a public process to ensure information is shared with Connecticut energy stakeholders and potential NWA bidders to work with the EDCs to identify areas for consideration of NWAs. This represent</w:t>
      </w:r>
      <w:r w:rsidRPr="00007910" w:rsidR="001B7FC9">
        <w:rPr>
          <w:rStyle w:val="fontstyle01"/>
          <w:rFonts w:ascii="Arial" w:hAnsi="Arial" w:cs="Arial"/>
        </w:rPr>
        <w:t>s</w:t>
      </w:r>
      <w:r w:rsidRPr="00007910">
        <w:rPr>
          <w:rStyle w:val="fontstyle01"/>
          <w:rFonts w:ascii="Arial" w:hAnsi="Arial" w:cs="Arial"/>
        </w:rPr>
        <w:t xml:space="preserve"> a transparent opening of the heretofore closed utility distribution planning process.</w:t>
      </w:r>
      <w:r w:rsidRPr="00007910" w:rsidR="008F4442">
        <w:rPr>
          <w:rStyle w:val="fontstyle01"/>
          <w:rFonts w:ascii="Arial" w:hAnsi="Arial" w:cs="Arial"/>
        </w:rPr>
        <w:t xml:space="preserve"> </w:t>
      </w:r>
    </w:p>
    <w:p w:rsidRPr="00007910" w:rsidR="00087E17" w:rsidP="00A75E2F" w:rsidRDefault="008F4442" w14:paraId="296B7C58" w14:textId="651E74C9">
      <w:pPr>
        <w:jc w:val="both"/>
        <w:rPr>
          <w:rStyle w:val="fontstyle01"/>
          <w:rFonts w:ascii="Arial" w:hAnsi="Arial" w:cs="Arial"/>
        </w:rPr>
      </w:pPr>
      <w:r w:rsidRPr="00007910">
        <w:rPr>
          <w:rStyle w:val="fontstyle01"/>
          <w:rFonts w:ascii="Arial" w:hAnsi="Arial" w:cs="Arial"/>
        </w:rPr>
        <w:t>The Authority expects the EDCs to maintain system information such as feeder and substation hourly and sub</w:t>
      </w:r>
      <w:r w:rsidRPr="00007910" w:rsidR="00AF0157">
        <w:rPr>
          <w:rStyle w:val="fontstyle01"/>
          <w:rFonts w:ascii="Arial" w:hAnsi="Arial" w:cs="Arial"/>
        </w:rPr>
        <w:t>-</w:t>
      </w:r>
      <w:r w:rsidRPr="00007910">
        <w:rPr>
          <w:rStyle w:val="fontstyle01"/>
          <w:rFonts w:ascii="Arial" w:hAnsi="Arial" w:cs="Arial"/>
        </w:rPr>
        <w:t xml:space="preserve">hourly loading and voltage measures in formats that can be </w:t>
      </w:r>
      <w:r w:rsidRPr="00007910">
        <w:rPr>
          <w:rStyle w:val="fontstyle01"/>
          <w:rFonts w:ascii="Arial" w:hAnsi="Arial" w:cs="Arial"/>
        </w:rPr>
        <w:lastRenderedPageBreak/>
        <w:t xml:space="preserve">readily shared with the Third-Party Administrator and </w:t>
      </w:r>
      <w:r w:rsidRPr="00007910" w:rsidR="001B7FC9">
        <w:rPr>
          <w:rStyle w:val="fontstyle01"/>
          <w:rFonts w:ascii="Arial" w:hAnsi="Arial" w:cs="Arial"/>
        </w:rPr>
        <w:t>third parties</w:t>
      </w:r>
      <w:r w:rsidRPr="00007910">
        <w:rPr>
          <w:rStyle w:val="fontstyle01"/>
          <w:rFonts w:ascii="Arial" w:hAnsi="Arial" w:cs="Arial"/>
        </w:rPr>
        <w:t xml:space="preserve"> as part of this process. To the extent justified by the EDCs, confidentiality agreements can be signed by </w:t>
      </w:r>
      <w:r w:rsidRPr="00007910" w:rsidR="001B7FC9">
        <w:rPr>
          <w:rStyle w:val="fontstyle01"/>
          <w:rFonts w:ascii="Arial" w:hAnsi="Arial" w:cs="Arial"/>
        </w:rPr>
        <w:t>third parties</w:t>
      </w:r>
      <w:r w:rsidRPr="00007910">
        <w:rPr>
          <w:rStyle w:val="fontstyle01"/>
          <w:rFonts w:ascii="Arial" w:hAnsi="Arial" w:cs="Arial"/>
        </w:rPr>
        <w:t xml:space="preserve"> and members of the public to assure confidentiality when such requests are legitimate</w:t>
      </w:r>
      <w:r w:rsidRPr="00007910" w:rsidR="00B12F27">
        <w:rPr>
          <w:rStyle w:val="fontstyle01"/>
          <w:rFonts w:ascii="Arial" w:hAnsi="Arial" w:cs="Arial"/>
        </w:rPr>
        <w:t>,</w:t>
      </w:r>
      <w:r w:rsidRPr="00007910">
        <w:rPr>
          <w:rStyle w:val="fontstyle01"/>
          <w:rFonts w:ascii="Arial" w:hAnsi="Arial" w:cs="Arial"/>
        </w:rPr>
        <w:t xml:space="preserve"> but the Authority has a prefer</w:t>
      </w:r>
      <w:r w:rsidRPr="00007910" w:rsidR="00E71DDE">
        <w:rPr>
          <w:rStyle w:val="fontstyle01"/>
          <w:rFonts w:ascii="Arial" w:hAnsi="Arial" w:cs="Arial"/>
        </w:rPr>
        <w:t>ence</w:t>
      </w:r>
      <w:r w:rsidRPr="00007910">
        <w:rPr>
          <w:rStyle w:val="fontstyle01"/>
          <w:rFonts w:ascii="Arial" w:hAnsi="Arial" w:cs="Arial"/>
        </w:rPr>
        <w:t xml:space="preserve"> for a public, open process when possible given the increasing level of public interest in Connecticut’s electricity grid.</w:t>
      </w:r>
    </w:p>
    <w:p w:rsidRPr="00007910" w:rsidR="00A452BC" w:rsidP="00A75E2F" w:rsidRDefault="00087E17" w14:paraId="2C80BD52" w14:textId="6B3550D2">
      <w:pPr>
        <w:jc w:val="both"/>
        <w:rPr>
          <w:rStyle w:val="fontstyle01"/>
          <w:rFonts w:ascii="Arial" w:hAnsi="Arial" w:cs="Arial"/>
          <w:b/>
          <w:bCs/>
        </w:rPr>
      </w:pPr>
      <w:r w:rsidRPr="00007910">
        <w:rPr>
          <w:rStyle w:val="fontstyle01"/>
          <w:rFonts w:ascii="Arial" w:hAnsi="Arial" w:cs="Arial"/>
        </w:rPr>
        <w:t>When a likely candidate for an NWA project is identified</w:t>
      </w:r>
      <w:r w:rsidRPr="00007910" w:rsidR="00CC44DE">
        <w:rPr>
          <w:rStyle w:val="fontstyle01"/>
          <w:rFonts w:ascii="Arial" w:hAnsi="Arial" w:cs="Arial"/>
        </w:rPr>
        <w:t xml:space="preserve"> (i.e., a distribution need that could be met with an NWA)</w:t>
      </w:r>
      <w:r w:rsidRPr="00007910">
        <w:rPr>
          <w:rStyle w:val="fontstyle01"/>
          <w:rFonts w:ascii="Arial" w:hAnsi="Arial" w:cs="Arial"/>
        </w:rPr>
        <w:t xml:space="preserve">, the Authority </w:t>
      </w:r>
      <w:r w:rsidRPr="00007910" w:rsidR="3E6B5F3A">
        <w:rPr>
          <w:rStyle w:val="fontstyle01"/>
          <w:rFonts w:ascii="Arial" w:hAnsi="Arial" w:cs="Arial"/>
        </w:rPr>
        <w:t>expects</w:t>
      </w:r>
      <w:r w:rsidRPr="00007910">
        <w:rPr>
          <w:rStyle w:val="fontstyle01"/>
          <w:rFonts w:ascii="Arial" w:hAnsi="Arial" w:cs="Arial"/>
        </w:rPr>
        <w:t xml:space="preserve"> the Third-Party Administrator</w:t>
      </w:r>
      <w:r w:rsidRPr="00007910" w:rsidR="05B8A48B">
        <w:rPr>
          <w:rStyle w:val="fontstyle01"/>
          <w:rFonts w:ascii="Arial" w:hAnsi="Arial" w:cs="Arial"/>
        </w:rPr>
        <w:t xml:space="preserve"> to determine if timing of the need allows for gathering more information. If so, the Authority expects </w:t>
      </w:r>
      <w:r w:rsidRPr="00007910" w:rsidR="1DE3018B">
        <w:rPr>
          <w:rStyle w:val="fontstyle01"/>
          <w:rFonts w:ascii="Arial" w:hAnsi="Arial" w:cs="Arial"/>
        </w:rPr>
        <w:t>the Third-Party Administrator</w:t>
      </w:r>
      <w:r w:rsidRPr="00007910">
        <w:rPr>
          <w:rStyle w:val="fontstyle01"/>
          <w:rFonts w:ascii="Arial" w:hAnsi="Arial" w:cs="Arial"/>
        </w:rPr>
        <w:t xml:space="preserve"> to issue </w:t>
      </w:r>
      <w:r w:rsidRPr="00007910" w:rsidR="5B988672">
        <w:rPr>
          <w:rStyle w:val="fontstyle01"/>
          <w:rFonts w:ascii="Arial" w:hAnsi="Arial" w:cs="Arial"/>
        </w:rPr>
        <w:t xml:space="preserve">one or more </w:t>
      </w:r>
      <w:r w:rsidRPr="00007910">
        <w:rPr>
          <w:rStyle w:val="fontstyle01"/>
          <w:rFonts w:ascii="Arial" w:hAnsi="Arial" w:cs="Arial"/>
        </w:rPr>
        <w:t>Request</w:t>
      </w:r>
      <w:r w:rsidRPr="00007910" w:rsidR="4AD57F4F">
        <w:rPr>
          <w:rStyle w:val="fontstyle01"/>
          <w:rFonts w:ascii="Arial" w:hAnsi="Arial" w:cs="Arial"/>
        </w:rPr>
        <w:t>s</w:t>
      </w:r>
      <w:r w:rsidRPr="00007910">
        <w:rPr>
          <w:rStyle w:val="fontstyle01"/>
          <w:rFonts w:ascii="Arial" w:hAnsi="Arial" w:cs="Arial"/>
        </w:rPr>
        <w:t xml:space="preserve"> for Information</w:t>
      </w:r>
      <w:r w:rsidRPr="00007910" w:rsidR="0073161E">
        <w:rPr>
          <w:rStyle w:val="fontstyle01"/>
          <w:rFonts w:ascii="Arial" w:hAnsi="Arial" w:cs="Arial"/>
        </w:rPr>
        <w:t xml:space="preserve"> (RFI</w:t>
      </w:r>
      <w:r w:rsidRPr="00007910" w:rsidR="7E5E2909">
        <w:rPr>
          <w:rStyle w:val="fontstyle01"/>
          <w:rFonts w:ascii="Arial" w:hAnsi="Arial" w:cs="Arial"/>
        </w:rPr>
        <w:t>s</w:t>
      </w:r>
      <w:r w:rsidRPr="00007910" w:rsidR="0073161E">
        <w:rPr>
          <w:rStyle w:val="fontstyle01"/>
          <w:rFonts w:ascii="Arial" w:hAnsi="Arial" w:cs="Arial"/>
        </w:rPr>
        <w:t>)</w:t>
      </w:r>
      <w:r w:rsidRPr="00007910">
        <w:rPr>
          <w:rStyle w:val="fontstyle01"/>
          <w:rFonts w:ascii="Arial" w:hAnsi="Arial" w:cs="Arial"/>
        </w:rPr>
        <w:t xml:space="preserve"> to the </w:t>
      </w:r>
      <w:r w:rsidRPr="00007910" w:rsidR="003F6172">
        <w:rPr>
          <w:rStyle w:val="fontstyle01"/>
          <w:rFonts w:ascii="Arial" w:hAnsi="Arial" w:cs="Arial"/>
        </w:rPr>
        <w:t>E</w:t>
      </w:r>
      <w:r w:rsidRPr="00007910">
        <w:rPr>
          <w:rStyle w:val="fontstyle01"/>
          <w:rFonts w:ascii="Arial" w:hAnsi="Arial" w:cs="Arial"/>
        </w:rPr>
        <w:t xml:space="preserve">DCs on the likely projects and parameters and then </w:t>
      </w:r>
      <w:r w:rsidRPr="00007910" w:rsidR="00AC522A">
        <w:rPr>
          <w:rStyle w:val="fontstyle01"/>
          <w:rFonts w:ascii="Arial" w:hAnsi="Arial" w:cs="Arial"/>
        </w:rPr>
        <w:t>simultaneously</w:t>
      </w:r>
      <w:r w:rsidRPr="00007910">
        <w:rPr>
          <w:rStyle w:val="fontstyle01"/>
          <w:rFonts w:ascii="Arial" w:hAnsi="Arial" w:cs="Arial"/>
        </w:rPr>
        <w:t xml:space="preserve"> or se</w:t>
      </w:r>
      <w:r w:rsidRPr="00007910" w:rsidR="0073161E">
        <w:rPr>
          <w:rStyle w:val="fontstyle01"/>
          <w:rFonts w:ascii="Arial" w:hAnsi="Arial" w:cs="Arial"/>
        </w:rPr>
        <w:t>quentially to interested bidders. If the utility is a potential implementor o</w:t>
      </w:r>
      <w:r w:rsidR="00222C43">
        <w:rPr>
          <w:rStyle w:val="fontstyle01"/>
          <w:rFonts w:ascii="Arial" w:hAnsi="Arial" w:cs="Arial"/>
        </w:rPr>
        <w:t>f</w:t>
      </w:r>
      <w:r w:rsidRPr="00007910" w:rsidR="0073161E">
        <w:rPr>
          <w:rStyle w:val="fontstyle01"/>
          <w:rFonts w:ascii="Arial" w:hAnsi="Arial" w:cs="Arial"/>
        </w:rPr>
        <w:t xml:space="preserve"> an aspect of the NWA or related distribution or transmission upgrades related to the violation that the NWA may address, the RFI process and responses should be open to other potential bidders, stakeholders and members of the public who complete any necessary NDAs or CEII agreements on forms approvals by the Authority. That said, the Third-Party Administrators, </w:t>
      </w:r>
      <w:r w:rsidRPr="00007910" w:rsidR="00870AC4">
        <w:rPr>
          <w:rStyle w:val="fontstyle01"/>
          <w:rFonts w:ascii="Arial" w:hAnsi="Arial" w:cs="Arial"/>
        </w:rPr>
        <w:t xml:space="preserve">EDCs </w:t>
      </w:r>
      <w:r w:rsidRPr="00007910" w:rsidR="0073161E">
        <w:rPr>
          <w:rStyle w:val="fontstyle01"/>
          <w:rFonts w:ascii="Arial" w:hAnsi="Arial" w:cs="Arial"/>
        </w:rPr>
        <w:t xml:space="preserve">and other parties shall endeavor to maintain as much information as public as possible. An ordinary distribution system NWA opportunity does not necessarily involve any </w:t>
      </w:r>
      <w:r w:rsidRPr="00007910" w:rsidR="00B457F9">
        <w:rPr>
          <w:rStyle w:val="fontstyle01"/>
          <w:rFonts w:ascii="Arial" w:hAnsi="Arial" w:cs="Arial"/>
        </w:rPr>
        <w:t xml:space="preserve">EDC </w:t>
      </w:r>
      <w:r w:rsidRPr="00007910" w:rsidR="0073161E">
        <w:rPr>
          <w:rStyle w:val="fontstyle01"/>
          <w:rFonts w:ascii="Arial" w:hAnsi="Arial" w:cs="Arial"/>
        </w:rPr>
        <w:t>business confidentiality or CEII issues and the Authority do not mean to suggest that to be the case.</w:t>
      </w:r>
    </w:p>
    <w:p w:rsidR="00A452BC" w:rsidP="00A75E2F" w:rsidRDefault="0073161E" w14:paraId="1569DE24" w14:textId="2BA9D2AF">
      <w:pPr>
        <w:jc w:val="both"/>
        <w:rPr>
          <w:rStyle w:val="fontstyle01"/>
          <w:rFonts w:ascii="Arial" w:hAnsi="Arial" w:cs="Arial"/>
        </w:rPr>
      </w:pPr>
      <w:r w:rsidRPr="00007910">
        <w:rPr>
          <w:rStyle w:val="fontstyle01"/>
          <w:rFonts w:ascii="Arial" w:hAnsi="Arial" w:cs="Arial"/>
        </w:rPr>
        <w:t xml:space="preserve">RFIs themselves can be useful for informing both the Third-Party Administrator and the process of how to hone effective RFPs for NWA projections to meet distribution system needs, save ratepayers money, and identify technical, reliability and project permutations between traditional </w:t>
      </w:r>
      <w:r w:rsidRPr="00007910" w:rsidR="00A60A2E">
        <w:rPr>
          <w:rStyle w:val="fontstyle01"/>
          <w:rFonts w:ascii="Arial" w:hAnsi="Arial" w:cs="Arial"/>
        </w:rPr>
        <w:t xml:space="preserve">EDC </w:t>
      </w:r>
      <w:r w:rsidRPr="00007910">
        <w:rPr>
          <w:rStyle w:val="fontstyle01"/>
          <w:rFonts w:ascii="Arial" w:hAnsi="Arial" w:cs="Arial"/>
        </w:rPr>
        <w:t>plant and NWAs.</w:t>
      </w:r>
      <w:r w:rsidRPr="00007910" w:rsidR="40A72EDB">
        <w:rPr>
          <w:rStyle w:val="fontstyle01"/>
          <w:rFonts w:ascii="Arial" w:hAnsi="Arial" w:cs="Arial"/>
        </w:rPr>
        <w:t xml:space="preserve"> The Authority would expect </w:t>
      </w:r>
      <w:r w:rsidRPr="00007910" w:rsidR="003665E2">
        <w:rPr>
          <w:rStyle w:val="fontstyle01"/>
          <w:rFonts w:ascii="Arial" w:hAnsi="Arial" w:cs="Arial"/>
        </w:rPr>
        <w:t xml:space="preserve">that a given </w:t>
      </w:r>
      <w:r w:rsidRPr="00007910" w:rsidR="3F37324B">
        <w:rPr>
          <w:rStyle w:val="fontstyle01"/>
          <w:rFonts w:ascii="Arial" w:hAnsi="Arial" w:cs="Arial"/>
        </w:rPr>
        <w:t xml:space="preserve">RFI would gather information on what resource types and combinations of resources may meet </w:t>
      </w:r>
      <w:proofErr w:type="gramStart"/>
      <w:r w:rsidRPr="00007910" w:rsidR="3F37324B">
        <w:rPr>
          <w:rStyle w:val="fontstyle01"/>
          <w:rFonts w:ascii="Arial" w:hAnsi="Arial" w:cs="Arial"/>
        </w:rPr>
        <w:t>partic</w:t>
      </w:r>
      <w:r w:rsidRPr="00007910" w:rsidR="346345B9">
        <w:rPr>
          <w:rStyle w:val="fontstyle01"/>
          <w:rFonts w:ascii="Arial" w:hAnsi="Arial" w:cs="Arial"/>
        </w:rPr>
        <w:t>u</w:t>
      </w:r>
      <w:r w:rsidRPr="00007910" w:rsidR="3F37324B">
        <w:rPr>
          <w:rStyle w:val="fontstyle01"/>
          <w:rFonts w:ascii="Arial" w:hAnsi="Arial" w:cs="Arial"/>
        </w:rPr>
        <w:t>lar distribution</w:t>
      </w:r>
      <w:proofErr w:type="gramEnd"/>
      <w:r w:rsidRPr="00007910" w:rsidR="3F37324B">
        <w:rPr>
          <w:rStyle w:val="fontstyle01"/>
          <w:rFonts w:ascii="Arial" w:hAnsi="Arial" w:cs="Arial"/>
        </w:rPr>
        <w:t xml:space="preserve"> system needs, integration of </w:t>
      </w:r>
      <w:r w:rsidRPr="00007910" w:rsidR="41F49846">
        <w:rPr>
          <w:rStyle w:val="fontstyle01"/>
          <w:rFonts w:ascii="Arial" w:hAnsi="Arial" w:cs="Arial"/>
        </w:rPr>
        <w:t xml:space="preserve">resources with the distribution system, </w:t>
      </w:r>
      <w:r w:rsidRPr="00007910" w:rsidR="0069080F">
        <w:rPr>
          <w:rStyle w:val="fontstyle01"/>
          <w:rFonts w:ascii="Arial" w:hAnsi="Arial" w:cs="Arial"/>
        </w:rPr>
        <w:t xml:space="preserve">and </w:t>
      </w:r>
      <w:r w:rsidRPr="00007910" w:rsidR="41F49846">
        <w:rPr>
          <w:rStyle w:val="fontstyle01"/>
          <w:rFonts w:ascii="Arial" w:hAnsi="Arial" w:cs="Arial"/>
        </w:rPr>
        <w:t>operations needs for NWAs</w:t>
      </w:r>
      <w:r w:rsidRPr="00007910" w:rsidR="00A879F2">
        <w:rPr>
          <w:rStyle w:val="fontstyle01"/>
          <w:rFonts w:ascii="Arial" w:hAnsi="Arial" w:cs="Arial"/>
        </w:rPr>
        <w:t>.</w:t>
      </w:r>
      <w:r w:rsidRPr="00007910" w:rsidR="41F49846">
        <w:rPr>
          <w:rStyle w:val="fontstyle01"/>
          <w:rFonts w:ascii="Arial" w:hAnsi="Arial" w:cs="Arial"/>
        </w:rPr>
        <w:t xml:space="preserve"> </w:t>
      </w:r>
      <w:r w:rsidRPr="00007910" w:rsidR="38851290">
        <w:rPr>
          <w:rStyle w:val="fontstyle01"/>
          <w:rFonts w:ascii="Arial" w:hAnsi="Arial" w:cs="Arial"/>
        </w:rPr>
        <w:t>For th</w:t>
      </w:r>
      <w:r w:rsidRPr="00007910" w:rsidR="786397AA">
        <w:rPr>
          <w:rStyle w:val="fontstyle01"/>
          <w:rFonts w:ascii="Arial" w:hAnsi="Arial" w:cs="Arial"/>
        </w:rPr>
        <w:t>ese</w:t>
      </w:r>
      <w:r w:rsidRPr="00007910" w:rsidR="38851290">
        <w:rPr>
          <w:rStyle w:val="fontstyle01"/>
          <w:rFonts w:ascii="Arial" w:hAnsi="Arial" w:cs="Arial"/>
        </w:rPr>
        <w:t xml:space="preserve"> reason</w:t>
      </w:r>
      <w:r w:rsidRPr="00007910" w:rsidR="2B5A2EF4">
        <w:rPr>
          <w:rStyle w:val="fontstyle01"/>
          <w:rFonts w:ascii="Arial" w:hAnsi="Arial" w:cs="Arial"/>
        </w:rPr>
        <w:t>s</w:t>
      </w:r>
      <w:r w:rsidRPr="00007910" w:rsidR="38851290">
        <w:rPr>
          <w:rStyle w:val="fontstyle01"/>
          <w:rFonts w:ascii="Arial" w:hAnsi="Arial" w:cs="Arial"/>
        </w:rPr>
        <w:t xml:space="preserve">, </w:t>
      </w:r>
      <w:r w:rsidRPr="00007910" w:rsidR="112755D3">
        <w:rPr>
          <w:rStyle w:val="fontstyle01"/>
          <w:rFonts w:ascii="Arial" w:hAnsi="Arial" w:cs="Arial"/>
        </w:rPr>
        <w:t>the Authority expects the Third-Party Administrator</w:t>
      </w:r>
      <w:r w:rsidRPr="00007910" w:rsidR="4FCC3B04">
        <w:rPr>
          <w:rStyle w:val="fontstyle01"/>
          <w:rFonts w:ascii="Arial" w:hAnsi="Arial" w:cs="Arial"/>
        </w:rPr>
        <w:t xml:space="preserve"> to issue RFI</w:t>
      </w:r>
      <w:r w:rsidR="008443FB">
        <w:rPr>
          <w:rStyle w:val="fontstyle01"/>
          <w:rFonts w:ascii="Arial" w:hAnsi="Arial" w:cs="Arial"/>
        </w:rPr>
        <w:t>s</w:t>
      </w:r>
      <w:r w:rsidRPr="00007910" w:rsidR="4FCC3B04">
        <w:rPr>
          <w:rStyle w:val="fontstyle01"/>
          <w:rFonts w:ascii="Arial" w:hAnsi="Arial" w:cs="Arial"/>
        </w:rPr>
        <w:t xml:space="preserve"> related to NWA design, integration with the distribution system</w:t>
      </w:r>
      <w:r w:rsidRPr="00007910" w:rsidR="46533B62">
        <w:rPr>
          <w:rStyle w:val="fontstyle01"/>
          <w:rFonts w:ascii="Arial" w:hAnsi="Arial" w:cs="Arial"/>
        </w:rPr>
        <w:t>,</w:t>
      </w:r>
      <w:r w:rsidRPr="00007910" w:rsidR="4FCC3B04">
        <w:rPr>
          <w:rStyle w:val="fontstyle01"/>
          <w:rFonts w:ascii="Arial" w:hAnsi="Arial" w:cs="Arial"/>
        </w:rPr>
        <w:t xml:space="preserve"> and potential bidder</w:t>
      </w:r>
      <w:r w:rsidRPr="00007910" w:rsidR="3478AF31">
        <w:rPr>
          <w:rStyle w:val="fontstyle01"/>
          <w:rFonts w:ascii="Arial" w:hAnsi="Arial" w:cs="Arial"/>
        </w:rPr>
        <w:t xml:space="preserve"> structures</w:t>
      </w:r>
      <w:r w:rsidRPr="00007910" w:rsidR="4FCC3B04">
        <w:rPr>
          <w:rStyle w:val="fontstyle01"/>
          <w:rFonts w:ascii="Arial" w:hAnsi="Arial" w:cs="Arial"/>
        </w:rPr>
        <w:t xml:space="preserve">. The circumstances </w:t>
      </w:r>
      <w:r w:rsidRPr="00007910" w:rsidR="675CFC6A">
        <w:rPr>
          <w:rStyle w:val="fontstyle01"/>
          <w:rFonts w:ascii="Arial" w:hAnsi="Arial" w:cs="Arial"/>
        </w:rPr>
        <w:t xml:space="preserve">that may justify jumping from an NWA need identification directly to </w:t>
      </w:r>
      <w:r w:rsidRPr="00007910" w:rsidR="5D76F920">
        <w:rPr>
          <w:rStyle w:val="fontstyle01"/>
          <w:rFonts w:ascii="Arial" w:hAnsi="Arial" w:cs="Arial"/>
        </w:rPr>
        <w:t>an RFP would involve imminent timing to address a distribution system need on short notice from the LDCs.</w:t>
      </w:r>
    </w:p>
    <w:p w:rsidRPr="00007910" w:rsidR="007F6D74" w:rsidP="22A5DB33" w:rsidRDefault="007F6D74" w14:paraId="76398099" w14:textId="77777777">
      <w:pPr>
        <w:rPr>
          <w:rStyle w:val="fontstyle01"/>
          <w:rFonts w:ascii="Arial" w:hAnsi="Arial" w:cs="Arial"/>
        </w:rPr>
      </w:pPr>
    </w:p>
    <w:p w:rsidR="008443FB" w:rsidRDefault="008443FB" w14:paraId="7CEC66C6" w14:textId="77777777">
      <w:pPr>
        <w:rPr>
          <w:rStyle w:val="fontstyle01"/>
          <w:rFonts w:ascii="Arial" w:hAnsi="Arial" w:cs="Arial"/>
          <w:b/>
          <w:bCs/>
        </w:rPr>
      </w:pPr>
      <w:r>
        <w:rPr>
          <w:rStyle w:val="fontstyle01"/>
          <w:rFonts w:ascii="Arial" w:hAnsi="Arial" w:cs="Arial"/>
          <w:b/>
          <w:bCs/>
        </w:rPr>
        <w:br w:type="page"/>
      </w:r>
    </w:p>
    <w:p w:rsidRPr="00007910" w:rsidR="004804E4" w:rsidP="00F0374A" w:rsidRDefault="004804E4" w14:paraId="0990ACCD" w14:textId="595A6BF4">
      <w:pPr>
        <w:pStyle w:val="ListParagraph"/>
        <w:numPr>
          <w:ilvl w:val="1"/>
          <w:numId w:val="4"/>
        </w:numPr>
        <w:rPr>
          <w:rStyle w:val="fontstyle01"/>
          <w:rFonts w:ascii="Arial" w:hAnsi="Arial" w:cs="Arial"/>
          <w:b/>
          <w:bCs/>
        </w:rPr>
      </w:pPr>
      <w:r w:rsidRPr="00007910">
        <w:rPr>
          <w:rStyle w:val="fontstyle01"/>
          <w:rFonts w:ascii="Arial" w:hAnsi="Arial" w:cs="Arial"/>
          <w:b/>
          <w:bCs/>
        </w:rPr>
        <w:lastRenderedPageBreak/>
        <w:t>Suitability Criteria</w:t>
      </w:r>
      <w:r w:rsidRPr="00007910" w:rsidR="001671D6">
        <w:rPr>
          <w:rStyle w:val="fontstyle01"/>
          <w:rFonts w:ascii="Arial" w:hAnsi="Arial" w:cs="Arial"/>
          <w:b/>
          <w:bCs/>
        </w:rPr>
        <w:t xml:space="preserve"> for </w:t>
      </w:r>
      <w:r w:rsidRPr="00007910" w:rsidR="00F3614C">
        <w:rPr>
          <w:rStyle w:val="fontstyle01"/>
          <w:rFonts w:ascii="Arial" w:hAnsi="Arial" w:cs="Arial"/>
          <w:b/>
          <w:bCs/>
        </w:rPr>
        <w:t>NWA Solutions Expected to Evolve with Experience</w:t>
      </w:r>
      <w:r w:rsidRPr="00007910" w:rsidR="00F0374A">
        <w:rPr>
          <w:rStyle w:val="fontstyle01"/>
          <w:rFonts w:ascii="Arial" w:hAnsi="Arial" w:cs="Arial"/>
          <w:b/>
          <w:bCs/>
        </w:rPr>
        <w:br/>
      </w:r>
    </w:p>
    <w:p w:rsidR="00135030" w:rsidP="00A75E2F" w:rsidRDefault="004804E4" w14:paraId="576E388A" w14:textId="0CA2C3CB">
      <w:pPr>
        <w:pStyle w:val="ListParagraph"/>
        <w:ind w:left="0"/>
        <w:jc w:val="both"/>
        <w:rPr>
          <w:rFonts w:ascii="Arial" w:hAnsi="Arial" w:cs="Arial"/>
        </w:rPr>
      </w:pPr>
      <w:r w:rsidRPr="00007910">
        <w:rPr>
          <w:rStyle w:val="fontstyle01"/>
          <w:rFonts w:ascii="Arial" w:hAnsi="Arial" w:cs="Arial"/>
        </w:rPr>
        <w:t>While the EDC’s maintain</w:t>
      </w:r>
      <w:r w:rsidRPr="00007910" w:rsidR="00D258FA">
        <w:rPr>
          <w:rStyle w:val="fontstyle01"/>
          <w:rFonts w:ascii="Arial" w:hAnsi="Arial" w:cs="Arial"/>
        </w:rPr>
        <w:t xml:space="preserve"> in their comments</w:t>
      </w:r>
      <w:r w:rsidRPr="00007910">
        <w:rPr>
          <w:rStyle w:val="fontstyle01"/>
          <w:rFonts w:ascii="Arial" w:hAnsi="Arial" w:cs="Arial"/>
        </w:rPr>
        <w:t xml:space="preserve"> that the utilities must initially control the identification of </w:t>
      </w:r>
      <w:r w:rsidRPr="00007910" w:rsidR="00F01CCB">
        <w:rPr>
          <w:rStyle w:val="fontstyle01"/>
          <w:rFonts w:ascii="Arial" w:hAnsi="Arial" w:cs="Arial"/>
        </w:rPr>
        <w:t>suitable</w:t>
      </w:r>
      <w:r w:rsidRPr="00007910">
        <w:rPr>
          <w:rStyle w:val="fontstyle01"/>
          <w:rFonts w:ascii="Arial" w:hAnsi="Arial" w:cs="Arial"/>
        </w:rPr>
        <w:t xml:space="preserve"> NWAs</w:t>
      </w:r>
      <w:r w:rsidRPr="00007910">
        <w:rPr>
          <w:rStyle w:val="FootnoteReference"/>
          <w:rFonts w:cs="Arial"/>
        </w:rPr>
        <w:footnoteReference w:id="10"/>
      </w:r>
      <w:r w:rsidRPr="00007910">
        <w:rPr>
          <w:rStyle w:val="fontstyle01"/>
          <w:rFonts w:ascii="Arial" w:hAnsi="Arial" w:cs="Arial"/>
        </w:rPr>
        <w:t xml:space="preserve"> before the Authority, DEEP, OCC or stakeholders are aware of distribution needs </w:t>
      </w:r>
      <w:r w:rsidRPr="00007910" w:rsidR="005643AF">
        <w:rPr>
          <w:rStyle w:val="fontstyle01"/>
          <w:rFonts w:ascii="Arial" w:hAnsi="Arial" w:cs="Arial"/>
        </w:rPr>
        <w:t>presenting an opportunity</w:t>
      </w:r>
      <w:r w:rsidRPr="00007910">
        <w:rPr>
          <w:rStyle w:val="fontstyle01"/>
          <w:rFonts w:ascii="Arial" w:hAnsi="Arial" w:cs="Arial"/>
        </w:rPr>
        <w:t xml:space="preserve"> for an NWA, the Authority finds this </w:t>
      </w:r>
      <w:r w:rsidRPr="00007910" w:rsidR="008B21C1">
        <w:rPr>
          <w:rStyle w:val="fontstyle01"/>
          <w:rFonts w:ascii="Arial" w:hAnsi="Arial" w:cs="Arial"/>
        </w:rPr>
        <w:t>insistence</w:t>
      </w:r>
      <w:r w:rsidRPr="00007910">
        <w:rPr>
          <w:rStyle w:val="fontstyle01"/>
          <w:rFonts w:ascii="Arial" w:hAnsi="Arial" w:cs="Arial"/>
        </w:rPr>
        <w:t xml:space="preserve"> on utility control to be contrary to PURA’s obligation to ratepayers to review EDC costs for prudence and necessity. </w:t>
      </w:r>
    </w:p>
    <w:p w:rsidRPr="00007910" w:rsidR="00C70615" w:rsidP="00A75E2F" w:rsidRDefault="00C70615" w14:paraId="5A403EDE" w14:textId="77777777">
      <w:pPr>
        <w:pStyle w:val="ListParagraph"/>
        <w:ind w:left="0" w:firstLine="720"/>
        <w:jc w:val="both"/>
        <w:rPr>
          <w:rStyle w:val="fontstyle01"/>
          <w:rFonts w:ascii="Arial" w:hAnsi="Arial" w:cs="Arial"/>
        </w:rPr>
      </w:pPr>
    </w:p>
    <w:p w:rsidR="00F01CCB" w:rsidP="00A75E2F" w:rsidRDefault="00C65ADA" w14:paraId="6FBC7C1B" w14:textId="25AE5F6C">
      <w:pPr>
        <w:pStyle w:val="ListParagraph"/>
        <w:ind w:left="0"/>
        <w:jc w:val="both"/>
        <w:rPr>
          <w:rStyle w:val="fontstyle01"/>
          <w:rFonts w:ascii="Arial" w:hAnsi="Arial" w:cs="Arial"/>
        </w:rPr>
      </w:pPr>
      <w:r w:rsidRPr="00007910">
        <w:rPr>
          <w:rStyle w:val="fontstyle01"/>
          <w:rFonts w:ascii="Arial" w:hAnsi="Arial" w:cs="Arial"/>
        </w:rPr>
        <w:t>As noted previously, t</w:t>
      </w:r>
      <w:r w:rsidRPr="00007910" w:rsidR="003A6305">
        <w:rPr>
          <w:rStyle w:val="fontstyle01"/>
          <w:rFonts w:ascii="Arial" w:hAnsi="Arial" w:cs="Arial"/>
        </w:rPr>
        <w:t>he Authority finds that when</w:t>
      </w:r>
      <w:r w:rsidRPr="00007910" w:rsidR="00F01CCB">
        <w:rPr>
          <w:rStyle w:val="fontstyle01"/>
          <w:rFonts w:ascii="Arial" w:hAnsi="Arial" w:cs="Arial"/>
        </w:rPr>
        <w:t xml:space="preserve"> DERs can provide load flexibility and deliver load reduction or distributed generation to meet reliability needs</w:t>
      </w:r>
      <w:r w:rsidRPr="00007910" w:rsidR="001F78D4">
        <w:rPr>
          <w:rStyle w:val="fontstyle01"/>
          <w:rFonts w:ascii="Arial" w:hAnsi="Arial" w:cs="Arial"/>
        </w:rPr>
        <w:t xml:space="preserve">.  </w:t>
      </w:r>
      <w:r w:rsidRPr="00007910" w:rsidR="00AB675A">
        <w:rPr>
          <w:rStyle w:val="fontstyle01"/>
          <w:rFonts w:ascii="Arial" w:hAnsi="Arial" w:cs="Arial"/>
        </w:rPr>
        <w:t>Ensuring that</w:t>
      </w:r>
      <w:r w:rsidRPr="00007910" w:rsidR="001F78D4">
        <w:rPr>
          <w:rStyle w:val="fontstyle01"/>
          <w:rFonts w:ascii="Arial" w:hAnsi="Arial" w:cs="Arial"/>
        </w:rPr>
        <w:t xml:space="preserve"> the best suite of DERs to add</w:t>
      </w:r>
      <w:r w:rsidRPr="00007910" w:rsidR="00AB675A">
        <w:rPr>
          <w:rStyle w:val="fontstyle01"/>
          <w:rFonts w:ascii="Arial" w:hAnsi="Arial" w:cs="Arial"/>
        </w:rPr>
        <w:t xml:space="preserve">ress any distribution system need are considered, and ultimately selected, requires </w:t>
      </w:r>
      <w:r w:rsidRPr="00007910" w:rsidR="003A6305">
        <w:rPr>
          <w:rStyle w:val="fontstyle01"/>
          <w:rFonts w:ascii="Arial" w:hAnsi="Arial" w:cs="Arial"/>
        </w:rPr>
        <w:t>an open</w:t>
      </w:r>
      <w:r w:rsidRPr="00007910" w:rsidR="00763931">
        <w:rPr>
          <w:rStyle w:val="fontstyle01"/>
          <w:rFonts w:ascii="Arial" w:hAnsi="Arial" w:cs="Arial"/>
        </w:rPr>
        <w:t>,</w:t>
      </w:r>
      <w:r w:rsidRPr="00007910" w:rsidR="003A6305">
        <w:rPr>
          <w:rStyle w:val="fontstyle01"/>
          <w:rFonts w:ascii="Arial" w:hAnsi="Arial" w:cs="Arial"/>
        </w:rPr>
        <w:t xml:space="preserve"> transparent process starting with identification of violations, service upgrades and improvements to the grid system </w:t>
      </w:r>
      <w:r w:rsidRPr="00007910" w:rsidR="00F01CCB">
        <w:rPr>
          <w:rStyle w:val="fontstyle01"/>
          <w:rFonts w:ascii="Arial" w:hAnsi="Arial" w:cs="Arial"/>
        </w:rPr>
        <w:t xml:space="preserve">as they identify new distribution system investments. </w:t>
      </w:r>
    </w:p>
    <w:p w:rsidRPr="00007910" w:rsidR="00135030" w:rsidP="00A75E2F" w:rsidRDefault="00135030" w14:paraId="2EED83AD" w14:textId="77777777">
      <w:pPr>
        <w:pStyle w:val="ListParagraph"/>
        <w:ind w:left="0"/>
        <w:jc w:val="both"/>
        <w:rPr>
          <w:rStyle w:val="fontstyle01"/>
          <w:rFonts w:ascii="Arial" w:hAnsi="Arial" w:cs="Arial"/>
        </w:rPr>
      </w:pPr>
    </w:p>
    <w:p w:rsidRPr="00007910" w:rsidR="00F0374A" w:rsidP="00A75E2F" w:rsidRDefault="00F01CCB" w14:paraId="683849D9" w14:textId="225EF058">
      <w:pPr>
        <w:pStyle w:val="ListParagraph"/>
        <w:ind w:left="0"/>
        <w:jc w:val="both"/>
        <w:rPr>
          <w:rStyle w:val="fontstyle01"/>
          <w:rFonts w:ascii="Arial" w:hAnsi="Arial" w:cs="Arial"/>
          <w:b/>
          <w:bCs/>
        </w:rPr>
      </w:pPr>
      <w:r w:rsidRPr="00007910">
        <w:rPr>
          <w:rStyle w:val="fontstyle01"/>
          <w:rFonts w:ascii="Arial" w:hAnsi="Arial" w:cs="Arial"/>
        </w:rPr>
        <w:t xml:space="preserve">While </w:t>
      </w:r>
      <w:r w:rsidRPr="00007910" w:rsidR="007F0712">
        <w:rPr>
          <w:rStyle w:val="fontstyle01"/>
          <w:rFonts w:ascii="Arial" w:hAnsi="Arial" w:cs="Arial"/>
        </w:rPr>
        <w:t xml:space="preserve">projected </w:t>
      </w:r>
      <w:r w:rsidRPr="00007910">
        <w:rPr>
          <w:rStyle w:val="fontstyle01"/>
          <w:rFonts w:ascii="Arial" w:hAnsi="Arial" w:cs="Arial"/>
        </w:rPr>
        <w:t>thermal</w:t>
      </w:r>
      <w:r w:rsidRPr="00007910" w:rsidR="001426C6">
        <w:rPr>
          <w:rStyle w:val="fontstyle01"/>
          <w:rFonts w:ascii="Arial" w:hAnsi="Arial" w:cs="Arial"/>
        </w:rPr>
        <w:t xml:space="preserve"> </w:t>
      </w:r>
      <w:r w:rsidRPr="00007910" w:rsidR="007F0712">
        <w:rPr>
          <w:rStyle w:val="fontstyle01"/>
          <w:rFonts w:ascii="Arial" w:hAnsi="Arial" w:cs="Arial"/>
        </w:rPr>
        <w:t>violations</w:t>
      </w:r>
      <w:r w:rsidRPr="00007910" w:rsidR="00E73CA0">
        <w:rPr>
          <w:rStyle w:val="fontstyle01"/>
          <w:rFonts w:ascii="Arial" w:hAnsi="Arial" w:cs="Arial"/>
        </w:rPr>
        <w:t>,</w:t>
      </w:r>
      <w:r w:rsidRPr="00007910">
        <w:rPr>
          <w:rStyle w:val="fontstyle01"/>
          <w:rFonts w:ascii="Arial" w:hAnsi="Arial" w:cs="Arial"/>
        </w:rPr>
        <w:t xml:space="preserve"> voltage violations</w:t>
      </w:r>
      <w:r w:rsidRPr="00007910" w:rsidR="00B545EE">
        <w:rPr>
          <w:rStyle w:val="fontstyle01"/>
          <w:rFonts w:ascii="Arial" w:hAnsi="Arial" w:cs="Arial"/>
        </w:rPr>
        <w:t>,</w:t>
      </w:r>
      <w:r w:rsidRPr="00007910">
        <w:rPr>
          <w:rStyle w:val="fontstyle01"/>
          <w:rFonts w:ascii="Arial" w:hAnsi="Arial" w:cs="Arial"/>
        </w:rPr>
        <w:t xml:space="preserve"> and substation expansions</w:t>
      </w:r>
      <w:r w:rsidRPr="00007910" w:rsidR="00E73CA0">
        <w:rPr>
          <w:rStyle w:val="fontstyle01"/>
          <w:rFonts w:ascii="Arial" w:hAnsi="Arial" w:cs="Arial"/>
        </w:rPr>
        <w:t>, often associated with load growth scenarios,</w:t>
      </w:r>
      <w:r w:rsidRPr="00007910">
        <w:rPr>
          <w:rStyle w:val="fontstyle01"/>
          <w:rFonts w:ascii="Arial" w:hAnsi="Arial" w:cs="Arial"/>
        </w:rPr>
        <w:t xml:space="preserve"> have been subject to NWAs to date in other </w:t>
      </w:r>
      <w:r w:rsidRPr="00007910" w:rsidR="008B21C1">
        <w:rPr>
          <w:rStyle w:val="fontstyle01"/>
          <w:rFonts w:ascii="Arial" w:hAnsi="Arial" w:cs="Arial"/>
        </w:rPr>
        <w:t>jurisdictions</w:t>
      </w:r>
      <w:r w:rsidRPr="00007910">
        <w:rPr>
          <w:rStyle w:val="fontstyle01"/>
          <w:rFonts w:ascii="Arial" w:hAnsi="Arial" w:cs="Arial"/>
        </w:rPr>
        <w:t xml:space="preserve">, the Authority is </w:t>
      </w:r>
      <w:r w:rsidRPr="00007910" w:rsidR="008B21C1">
        <w:rPr>
          <w:rStyle w:val="fontstyle01"/>
          <w:rFonts w:ascii="Arial" w:hAnsi="Arial" w:cs="Arial"/>
        </w:rPr>
        <w:t>reluctant</w:t>
      </w:r>
      <w:r w:rsidRPr="00007910">
        <w:rPr>
          <w:rStyle w:val="fontstyle01"/>
          <w:rFonts w:ascii="Arial" w:hAnsi="Arial" w:cs="Arial"/>
        </w:rPr>
        <w:t xml:space="preserve"> to </w:t>
      </w:r>
      <w:r w:rsidRPr="00007910" w:rsidR="00DA0C07">
        <w:rPr>
          <w:rStyle w:val="fontstyle01"/>
          <w:rFonts w:ascii="Arial" w:hAnsi="Arial" w:cs="Arial"/>
        </w:rPr>
        <w:t>establish narrow suitability criteria that might inadvertently eliminate the ability of EDCs and stakeholders to propose innovative NWA</w:t>
      </w:r>
      <w:r w:rsidRPr="00007910" w:rsidR="00E73CA0">
        <w:rPr>
          <w:rStyle w:val="fontstyle01"/>
          <w:rFonts w:ascii="Arial" w:hAnsi="Arial" w:cs="Arial"/>
        </w:rPr>
        <w:t>s</w:t>
      </w:r>
      <w:r w:rsidRPr="00007910" w:rsidR="00DA0C07">
        <w:rPr>
          <w:rStyle w:val="fontstyle01"/>
          <w:rFonts w:ascii="Arial" w:hAnsi="Arial" w:cs="Arial"/>
        </w:rPr>
        <w:t xml:space="preserve"> to address projected utility system needs</w:t>
      </w:r>
      <w:r w:rsidRPr="00007910" w:rsidR="00E73CA0">
        <w:rPr>
          <w:rStyle w:val="fontstyle01"/>
          <w:rFonts w:ascii="Arial" w:hAnsi="Arial" w:cs="Arial"/>
        </w:rPr>
        <w:t xml:space="preserve"> more efficiently than traditional </w:t>
      </w:r>
      <w:r w:rsidRPr="00007910" w:rsidR="008B21C1">
        <w:rPr>
          <w:rStyle w:val="fontstyle01"/>
          <w:rFonts w:ascii="Arial" w:hAnsi="Arial" w:cs="Arial"/>
        </w:rPr>
        <w:t>solutions</w:t>
      </w:r>
      <w:r w:rsidRPr="00007910" w:rsidR="00DA0C07">
        <w:rPr>
          <w:rStyle w:val="fontstyle01"/>
          <w:rFonts w:ascii="Arial" w:hAnsi="Arial" w:cs="Arial"/>
        </w:rPr>
        <w:t xml:space="preserve">. </w:t>
      </w:r>
      <w:r w:rsidRPr="00007910" w:rsidR="00CC488B">
        <w:rPr>
          <w:rStyle w:val="fontstyle01"/>
          <w:rFonts w:ascii="Arial" w:hAnsi="Arial" w:cs="Arial"/>
        </w:rPr>
        <w:t xml:space="preserve">For this reason, PURA </w:t>
      </w:r>
      <w:r w:rsidR="00135030">
        <w:rPr>
          <w:rStyle w:val="fontstyle01"/>
          <w:rFonts w:ascii="Arial" w:hAnsi="Arial" w:cs="Arial"/>
        </w:rPr>
        <w:t>directs</w:t>
      </w:r>
      <w:r w:rsidRPr="00007910" w:rsidR="00135030">
        <w:rPr>
          <w:rStyle w:val="fontstyle01"/>
          <w:rFonts w:ascii="Arial" w:hAnsi="Arial" w:cs="Arial"/>
        </w:rPr>
        <w:t xml:space="preserve"> </w:t>
      </w:r>
      <w:r w:rsidRPr="00007910" w:rsidR="00CC488B">
        <w:rPr>
          <w:rStyle w:val="fontstyle01"/>
          <w:rFonts w:ascii="Arial" w:hAnsi="Arial" w:cs="Arial"/>
        </w:rPr>
        <w:t>that the independent NWA Administrator and associated stakeholders proceed to review all distribution system investments over $500,000</w:t>
      </w:r>
      <w:r w:rsidRPr="00007910" w:rsidR="0959C7D8">
        <w:rPr>
          <w:rStyle w:val="fontstyle01"/>
          <w:rFonts w:ascii="Arial" w:hAnsi="Arial" w:cs="Arial"/>
        </w:rPr>
        <w:t xml:space="preserve"> per circuit and per substation for the project, whether spread over one or more years</w:t>
      </w:r>
      <w:r w:rsidRPr="00007910" w:rsidR="00CC488B">
        <w:rPr>
          <w:rStyle w:val="fontstyle01"/>
          <w:rFonts w:ascii="Arial" w:hAnsi="Arial" w:cs="Arial"/>
        </w:rPr>
        <w:t>. This will require regular</w:t>
      </w:r>
      <w:r w:rsidRPr="00007910" w:rsidR="669F0A41">
        <w:rPr>
          <w:rStyle w:val="fontstyle01"/>
          <w:rFonts w:ascii="Arial" w:hAnsi="Arial" w:cs="Arial"/>
        </w:rPr>
        <w:t xml:space="preserve"> monthly</w:t>
      </w:r>
      <w:r w:rsidRPr="00007910" w:rsidR="00CC488B">
        <w:rPr>
          <w:rStyle w:val="fontstyle01"/>
          <w:rFonts w:ascii="Arial" w:hAnsi="Arial" w:cs="Arial"/>
        </w:rPr>
        <w:t xml:space="preserve"> meeting</w:t>
      </w:r>
      <w:r w:rsidRPr="00007910" w:rsidR="005E1505">
        <w:rPr>
          <w:rStyle w:val="fontstyle01"/>
          <w:rFonts w:ascii="Arial" w:hAnsi="Arial" w:cs="Arial"/>
        </w:rPr>
        <w:t>s</w:t>
      </w:r>
      <w:r w:rsidRPr="00007910" w:rsidR="00CC488B">
        <w:rPr>
          <w:rStyle w:val="fontstyle01"/>
          <w:rFonts w:ascii="Arial" w:hAnsi="Arial" w:cs="Arial"/>
        </w:rPr>
        <w:t xml:space="preserve"> of an NWA </w:t>
      </w:r>
      <w:r w:rsidRPr="00007910" w:rsidR="00D02B02">
        <w:rPr>
          <w:rStyle w:val="fontstyle01"/>
          <w:rFonts w:ascii="Arial" w:hAnsi="Arial" w:cs="Arial"/>
        </w:rPr>
        <w:t xml:space="preserve">stakeholder </w:t>
      </w:r>
      <w:r w:rsidRPr="00007910" w:rsidR="00CC488B">
        <w:rPr>
          <w:rStyle w:val="fontstyle01"/>
          <w:rFonts w:ascii="Arial" w:hAnsi="Arial" w:cs="Arial"/>
        </w:rPr>
        <w:t xml:space="preserve">group led by </w:t>
      </w:r>
      <w:r w:rsidRPr="00007910" w:rsidR="00E73CA0">
        <w:rPr>
          <w:rStyle w:val="fontstyle01"/>
          <w:rFonts w:ascii="Arial" w:hAnsi="Arial" w:cs="Arial"/>
        </w:rPr>
        <w:t>the Third-Party Administrator</w:t>
      </w:r>
      <w:r w:rsidRPr="00007910" w:rsidR="00CC488B">
        <w:rPr>
          <w:rStyle w:val="fontstyle01"/>
          <w:rFonts w:ascii="Arial" w:hAnsi="Arial" w:cs="Arial"/>
        </w:rPr>
        <w:t xml:space="preserve">. It will also require submissions by the EDCs </w:t>
      </w:r>
      <w:r w:rsidRPr="00007910" w:rsidR="005A022C">
        <w:rPr>
          <w:rStyle w:val="fontstyle01"/>
          <w:rFonts w:ascii="Arial" w:hAnsi="Arial" w:cs="Arial"/>
        </w:rPr>
        <w:t>annually</w:t>
      </w:r>
      <w:r w:rsidRPr="00007910" w:rsidR="00CC488B">
        <w:rPr>
          <w:rStyle w:val="fontstyle01"/>
          <w:rFonts w:ascii="Arial" w:hAnsi="Arial" w:cs="Arial"/>
        </w:rPr>
        <w:t xml:space="preserve"> in advance of each meeting of planned distribution system upgrades, emerging violations, projected </w:t>
      </w:r>
      <w:proofErr w:type="gramStart"/>
      <w:r w:rsidRPr="00007910" w:rsidR="00190498">
        <w:rPr>
          <w:rStyle w:val="fontstyle01"/>
          <w:rFonts w:ascii="Arial" w:hAnsi="Arial" w:cs="Arial"/>
        </w:rPr>
        <w:t>issues</w:t>
      </w:r>
      <w:proofErr w:type="gramEnd"/>
      <w:r w:rsidRPr="00007910" w:rsidR="00190498">
        <w:rPr>
          <w:rStyle w:val="fontstyle01"/>
          <w:rFonts w:ascii="Arial" w:hAnsi="Arial" w:cs="Arial"/>
        </w:rPr>
        <w:t xml:space="preserve"> and system needs </w:t>
      </w:r>
      <w:r w:rsidRPr="00007910" w:rsidR="00CC488B">
        <w:rPr>
          <w:rStyle w:val="fontstyle01"/>
          <w:rFonts w:ascii="Arial" w:hAnsi="Arial" w:cs="Arial"/>
        </w:rPr>
        <w:t>five to ten year</w:t>
      </w:r>
      <w:r w:rsidRPr="00007910" w:rsidR="00E73CA0">
        <w:rPr>
          <w:rStyle w:val="fontstyle01"/>
          <w:rFonts w:ascii="Arial" w:hAnsi="Arial" w:cs="Arial"/>
        </w:rPr>
        <w:t>s</w:t>
      </w:r>
      <w:r w:rsidRPr="00007910" w:rsidR="00CC488B">
        <w:rPr>
          <w:rStyle w:val="fontstyle01"/>
          <w:rFonts w:ascii="Arial" w:hAnsi="Arial" w:cs="Arial"/>
        </w:rPr>
        <w:t xml:space="preserve"> </w:t>
      </w:r>
      <w:r w:rsidRPr="00007910" w:rsidR="00E73CA0">
        <w:rPr>
          <w:rStyle w:val="fontstyle01"/>
          <w:rFonts w:ascii="Arial" w:hAnsi="Arial" w:cs="Arial"/>
        </w:rPr>
        <w:t>hence</w:t>
      </w:r>
      <w:r w:rsidRPr="00007910" w:rsidR="00CC488B">
        <w:rPr>
          <w:rStyle w:val="fontstyle01"/>
          <w:rFonts w:ascii="Arial" w:hAnsi="Arial" w:cs="Arial"/>
        </w:rPr>
        <w:t xml:space="preserve">. </w:t>
      </w:r>
    </w:p>
    <w:p w:rsidRPr="00007910" w:rsidR="00F0374A" w:rsidP="22A5DB33" w:rsidRDefault="00F0374A" w14:paraId="4E14185B" w14:textId="350E7B37">
      <w:pPr>
        <w:pStyle w:val="ListParagraph"/>
        <w:ind w:left="0" w:firstLine="720"/>
        <w:rPr>
          <w:rStyle w:val="fontstyle01"/>
          <w:rFonts w:ascii="Arial" w:hAnsi="Arial" w:cs="Arial"/>
        </w:rPr>
      </w:pPr>
    </w:p>
    <w:p w:rsidR="00F0374A" w:rsidP="00A75E2F" w:rsidRDefault="256C11D5" w14:paraId="5D14850B" w14:textId="2F3718EA">
      <w:pPr>
        <w:pStyle w:val="ListParagraph"/>
        <w:ind w:left="0"/>
        <w:jc w:val="both"/>
        <w:rPr>
          <w:rStyle w:val="fontstyle01"/>
          <w:rFonts w:ascii="Arial" w:hAnsi="Arial" w:cs="Arial"/>
        </w:rPr>
      </w:pPr>
      <w:r w:rsidRPr="00007910">
        <w:rPr>
          <w:rStyle w:val="fontstyle01"/>
          <w:rFonts w:ascii="Arial" w:hAnsi="Arial" w:cs="Arial"/>
        </w:rPr>
        <w:t>As the EDC</w:t>
      </w:r>
      <w:r w:rsidRPr="00007910" w:rsidR="380D69C5">
        <w:rPr>
          <w:rStyle w:val="fontstyle01"/>
          <w:rFonts w:ascii="Arial" w:hAnsi="Arial" w:cs="Arial"/>
        </w:rPr>
        <w:t>s</w:t>
      </w:r>
      <w:r w:rsidRPr="00007910">
        <w:rPr>
          <w:rStyle w:val="fontstyle01"/>
          <w:rFonts w:ascii="Arial" w:hAnsi="Arial" w:cs="Arial"/>
        </w:rPr>
        <w:t xml:space="preserve"> perform system analysis and update needs for future years</w:t>
      </w:r>
      <w:r w:rsidRPr="00007910" w:rsidR="1579E6C6">
        <w:rPr>
          <w:rStyle w:val="fontstyle01"/>
          <w:rFonts w:ascii="Arial" w:hAnsi="Arial" w:cs="Arial"/>
        </w:rPr>
        <w:t>, the Authority anticipates submission to the NWA process</w:t>
      </w:r>
      <w:r w:rsidRPr="00007910" w:rsidR="51E5981E">
        <w:rPr>
          <w:rStyle w:val="fontstyle01"/>
          <w:rFonts w:ascii="Arial" w:hAnsi="Arial" w:cs="Arial"/>
        </w:rPr>
        <w:t xml:space="preserve"> on emerging violations, identified distribution system investments over $500,000 per circuit </w:t>
      </w:r>
      <w:r w:rsidRPr="00007910" w:rsidR="77F88803">
        <w:rPr>
          <w:rStyle w:val="fontstyle01"/>
          <w:rFonts w:ascii="Arial" w:hAnsi="Arial" w:cs="Arial"/>
        </w:rPr>
        <w:t>and</w:t>
      </w:r>
      <w:r w:rsidRPr="00007910" w:rsidR="51E5981E">
        <w:rPr>
          <w:rStyle w:val="fontstyle01"/>
          <w:rFonts w:ascii="Arial" w:hAnsi="Arial" w:cs="Arial"/>
        </w:rPr>
        <w:t xml:space="preserve"> per substation and</w:t>
      </w:r>
      <w:r w:rsidRPr="00007910" w:rsidR="5666ED1D">
        <w:rPr>
          <w:rStyle w:val="fontstyle01"/>
          <w:rFonts w:ascii="Arial" w:hAnsi="Arial" w:cs="Arial"/>
        </w:rPr>
        <w:t xml:space="preserve"> projected system needs five and ten years hence.</w:t>
      </w:r>
      <w:r w:rsidRPr="00007910" w:rsidR="51E5981E">
        <w:rPr>
          <w:rStyle w:val="fontstyle01"/>
          <w:rFonts w:ascii="Arial" w:hAnsi="Arial" w:cs="Arial"/>
        </w:rPr>
        <w:t xml:space="preserve"> </w:t>
      </w:r>
      <w:r w:rsidRPr="00007910" w:rsidR="0060560C">
        <w:rPr>
          <w:rStyle w:val="fontstyle01"/>
          <w:rFonts w:ascii="Arial" w:hAnsi="Arial" w:cs="Arial"/>
        </w:rPr>
        <w:t>In sum, this information will be updated</w:t>
      </w:r>
      <w:r w:rsidRPr="00007910" w:rsidR="36960005">
        <w:rPr>
          <w:rStyle w:val="fontstyle01"/>
          <w:rFonts w:ascii="Arial" w:hAnsi="Arial" w:cs="Arial"/>
        </w:rPr>
        <w:t xml:space="preserve"> at least</w:t>
      </w:r>
      <w:r w:rsidRPr="00007910" w:rsidR="0060560C">
        <w:rPr>
          <w:rStyle w:val="fontstyle01"/>
          <w:rFonts w:ascii="Arial" w:hAnsi="Arial" w:cs="Arial"/>
        </w:rPr>
        <w:t xml:space="preserve"> annually on a system-wide basis to be filed with the Third-Party Administrator and shared with the NWA stakeholders.</w:t>
      </w:r>
      <w:r w:rsidRPr="00007910" w:rsidR="53475B94">
        <w:rPr>
          <w:rStyle w:val="fontstyle01"/>
          <w:rFonts w:ascii="Arial" w:hAnsi="Arial" w:cs="Arial"/>
        </w:rPr>
        <w:t xml:space="preserve"> It will be reviewed in a series of meeting</w:t>
      </w:r>
      <w:r w:rsidRPr="00007910" w:rsidR="009634E0">
        <w:rPr>
          <w:rStyle w:val="fontstyle01"/>
          <w:rFonts w:ascii="Arial" w:hAnsi="Arial" w:cs="Arial"/>
        </w:rPr>
        <w:t>s,</w:t>
      </w:r>
      <w:r w:rsidRPr="00007910" w:rsidR="53475B94">
        <w:rPr>
          <w:rStyle w:val="fontstyle01"/>
          <w:rFonts w:ascii="Arial" w:hAnsi="Arial" w:cs="Arial"/>
        </w:rPr>
        <w:t xml:space="preserve"> at least monthly</w:t>
      </w:r>
      <w:r w:rsidRPr="00007910" w:rsidR="100D7B8C">
        <w:rPr>
          <w:rStyle w:val="fontstyle01"/>
          <w:rFonts w:ascii="Arial" w:hAnsi="Arial" w:cs="Arial"/>
        </w:rPr>
        <w:t>.</w:t>
      </w:r>
    </w:p>
    <w:p w:rsidRPr="00007910" w:rsidR="00135030" w:rsidP="00A75E2F" w:rsidRDefault="00135030" w14:paraId="62059F06" w14:textId="77777777">
      <w:pPr>
        <w:pStyle w:val="ListParagraph"/>
        <w:ind w:left="0"/>
        <w:rPr>
          <w:rStyle w:val="fontstyle01"/>
          <w:rFonts w:ascii="Arial" w:hAnsi="Arial" w:cs="Arial"/>
          <w:b/>
          <w:bCs/>
        </w:rPr>
      </w:pPr>
    </w:p>
    <w:p w:rsidRPr="00007910" w:rsidR="00F0374A" w:rsidP="00A75E2F" w:rsidRDefault="100D7B8C" w14:paraId="27864530" w14:textId="10413673">
      <w:pPr>
        <w:pStyle w:val="ListParagraph"/>
        <w:ind w:left="0"/>
        <w:jc w:val="both"/>
        <w:rPr>
          <w:rStyle w:val="fontstyle01"/>
          <w:rFonts w:ascii="Arial" w:hAnsi="Arial" w:cs="Arial"/>
        </w:rPr>
      </w:pPr>
      <w:r w:rsidRPr="00007910">
        <w:rPr>
          <w:rStyle w:val="fontstyle01"/>
          <w:rFonts w:ascii="Arial" w:hAnsi="Arial" w:cs="Arial"/>
        </w:rPr>
        <w:t>While the Authority is not mandating suitability criteria at this early stage in development</w:t>
      </w:r>
      <w:r w:rsidRPr="00007910" w:rsidR="5EA48BCC">
        <w:rPr>
          <w:rStyle w:val="fontstyle01"/>
          <w:rFonts w:ascii="Arial" w:hAnsi="Arial" w:cs="Arial"/>
        </w:rPr>
        <w:t xml:space="preserve"> of the NWA program, the Authority does expect NWA</w:t>
      </w:r>
      <w:r w:rsidRPr="00007910" w:rsidR="00FB6CE7">
        <w:rPr>
          <w:rStyle w:val="fontstyle01"/>
          <w:rFonts w:ascii="Arial" w:hAnsi="Arial" w:cs="Arial"/>
        </w:rPr>
        <w:t>s</w:t>
      </w:r>
      <w:r w:rsidRPr="00007910" w:rsidR="5EA48BCC">
        <w:rPr>
          <w:rStyle w:val="fontstyle01"/>
          <w:rFonts w:ascii="Arial" w:hAnsi="Arial" w:cs="Arial"/>
        </w:rPr>
        <w:t xml:space="preserve"> to be evaluated on a comparable financial and cost basis to traditional system upgrades. </w:t>
      </w:r>
      <w:r w:rsidRPr="00007910" w:rsidR="5339227A">
        <w:rPr>
          <w:rStyle w:val="fontstyle01"/>
          <w:rFonts w:ascii="Arial" w:hAnsi="Arial" w:cs="Arial"/>
        </w:rPr>
        <w:t xml:space="preserve">NWA cost deferrals </w:t>
      </w:r>
      <w:r w:rsidRPr="00007910" w:rsidR="00FB6CE7">
        <w:rPr>
          <w:rStyle w:val="fontstyle01"/>
          <w:rFonts w:ascii="Arial" w:hAnsi="Arial" w:cs="Arial"/>
        </w:rPr>
        <w:t xml:space="preserve">that </w:t>
      </w:r>
      <w:r w:rsidRPr="00007910" w:rsidR="5339227A">
        <w:rPr>
          <w:rStyle w:val="fontstyle01"/>
          <w:rFonts w:ascii="Arial" w:hAnsi="Arial" w:cs="Arial"/>
        </w:rPr>
        <w:t>are assumed to disappear after year 10</w:t>
      </w:r>
      <w:r w:rsidRPr="00007910" w:rsidR="73104EEB">
        <w:rPr>
          <w:rStyle w:val="fontstyle01"/>
          <w:rFonts w:ascii="Arial" w:hAnsi="Arial" w:cs="Arial"/>
        </w:rPr>
        <w:t xml:space="preserve"> is an example of an assumption that unduly favors a traditional distribution plant capital upgrade.</w:t>
      </w:r>
      <w:r w:rsidRPr="00007910" w:rsidR="5F1A84D4">
        <w:rPr>
          <w:rStyle w:val="fontstyle01"/>
          <w:rFonts w:ascii="Arial" w:hAnsi="Arial" w:cs="Arial"/>
        </w:rPr>
        <w:t xml:space="preserve"> Due to successes with Connecticut energy </w:t>
      </w:r>
      <w:r w:rsidRPr="00007910" w:rsidR="5F1A84D4">
        <w:rPr>
          <w:rStyle w:val="fontstyle01"/>
          <w:rFonts w:ascii="Arial" w:hAnsi="Arial" w:cs="Arial"/>
        </w:rPr>
        <w:lastRenderedPageBreak/>
        <w:t xml:space="preserve">efficiency investments, it is quite conceivable that an NWA project provides sufficient time for the traditional distribution plant capital need to </w:t>
      </w:r>
      <w:r w:rsidRPr="00007910" w:rsidR="558EF029">
        <w:rPr>
          <w:rStyle w:val="fontstyle01"/>
          <w:rFonts w:ascii="Arial" w:hAnsi="Arial" w:cs="Arial"/>
        </w:rPr>
        <w:t>be eliminated in part or entirely.</w:t>
      </w:r>
    </w:p>
    <w:p w:rsidRPr="00007910" w:rsidR="00F0374A" w:rsidP="00A75E2F" w:rsidRDefault="00F0374A" w14:paraId="454B9144" w14:textId="30D2957F">
      <w:pPr>
        <w:pStyle w:val="ListParagraph"/>
        <w:ind w:left="0" w:firstLine="720"/>
        <w:jc w:val="both"/>
        <w:rPr>
          <w:rStyle w:val="fontstyle01"/>
          <w:rFonts w:ascii="Arial" w:hAnsi="Arial" w:cs="Arial"/>
          <w:b/>
          <w:bCs/>
        </w:rPr>
      </w:pPr>
    </w:p>
    <w:p w:rsidRPr="00007910" w:rsidR="00CC488B" w:rsidP="00F0374A" w:rsidRDefault="00CC488B" w14:paraId="4656B0B9" w14:textId="77BC53C8">
      <w:pPr>
        <w:pStyle w:val="ListParagraph"/>
        <w:numPr>
          <w:ilvl w:val="1"/>
          <w:numId w:val="4"/>
        </w:numPr>
        <w:rPr>
          <w:rStyle w:val="fontstyle01"/>
          <w:rFonts w:ascii="Arial" w:hAnsi="Arial" w:cs="Arial"/>
          <w:b/>
          <w:bCs/>
        </w:rPr>
      </w:pPr>
      <w:r w:rsidRPr="00007910">
        <w:rPr>
          <w:rStyle w:val="fontstyle01"/>
          <w:rFonts w:ascii="Arial" w:hAnsi="Arial" w:cs="Arial"/>
          <w:b/>
          <w:bCs/>
        </w:rPr>
        <w:t>NWA Screening Process Among the EDCs and Stakeholders</w:t>
      </w:r>
    </w:p>
    <w:p w:rsidRPr="00007910" w:rsidR="00BD3527" w:rsidP="00A75E2F" w:rsidRDefault="00BD3527" w14:paraId="49F0ADA9" w14:textId="2C023C2D">
      <w:pPr>
        <w:jc w:val="both"/>
        <w:rPr>
          <w:rStyle w:val="fontstyle01"/>
          <w:rFonts w:ascii="Arial" w:hAnsi="Arial" w:cs="Arial"/>
        </w:rPr>
      </w:pPr>
      <w:r w:rsidRPr="00007910">
        <w:rPr>
          <w:rStyle w:val="fontstyle01"/>
          <w:rFonts w:ascii="Arial" w:hAnsi="Arial" w:cs="Arial"/>
        </w:rPr>
        <w:t xml:space="preserve">Screening will occur for all distribution system investments over $500,000 by the </w:t>
      </w:r>
      <w:r w:rsidRPr="00007910" w:rsidR="00E73CA0">
        <w:rPr>
          <w:rStyle w:val="fontstyle01"/>
          <w:rFonts w:ascii="Arial" w:hAnsi="Arial" w:cs="Arial"/>
        </w:rPr>
        <w:t xml:space="preserve">Third-Party Administrator’s </w:t>
      </w:r>
      <w:r w:rsidRPr="00007910">
        <w:rPr>
          <w:rStyle w:val="fontstyle01"/>
          <w:rFonts w:ascii="Arial" w:hAnsi="Arial" w:cs="Arial"/>
        </w:rPr>
        <w:t xml:space="preserve">facilitation of the </w:t>
      </w:r>
      <w:r w:rsidRPr="00007910" w:rsidR="00016AF9">
        <w:rPr>
          <w:rStyle w:val="fontstyle01"/>
          <w:rFonts w:ascii="Arial" w:hAnsi="Arial" w:cs="Arial"/>
        </w:rPr>
        <w:t>public</w:t>
      </w:r>
      <w:r w:rsidRPr="00007910" w:rsidR="00E73CA0">
        <w:rPr>
          <w:rStyle w:val="fontstyle01"/>
          <w:rFonts w:ascii="Arial" w:hAnsi="Arial" w:cs="Arial"/>
        </w:rPr>
        <w:t>,</w:t>
      </w:r>
      <w:r w:rsidRPr="00007910">
        <w:rPr>
          <w:rStyle w:val="fontstyle01"/>
          <w:rFonts w:ascii="Arial" w:hAnsi="Arial" w:cs="Arial"/>
        </w:rPr>
        <w:t xml:space="preserve"> stakeholder process.</w:t>
      </w:r>
      <w:r w:rsidRPr="00007910" w:rsidR="0060560C">
        <w:rPr>
          <w:rStyle w:val="fontstyle01"/>
          <w:rFonts w:ascii="Arial" w:hAnsi="Arial" w:cs="Arial"/>
        </w:rPr>
        <w:t xml:space="preserve"> An </w:t>
      </w:r>
      <w:r w:rsidRPr="00007910" w:rsidR="00B10060">
        <w:rPr>
          <w:rStyle w:val="fontstyle01"/>
          <w:rFonts w:ascii="Arial" w:hAnsi="Arial" w:cs="Arial"/>
        </w:rPr>
        <w:t>identification</w:t>
      </w:r>
      <w:r w:rsidRPr="00007910" w:rsidR="0060560C">
        <w:rPr>
          <w:rStyle w:val="fontstyle01"/>
          <w:rFonts w:ascii="Arial" w:hAnsi="Arial" w:cs="Arial"/>
        </w:rPr>
        <w:t xml:space="preserve"> of any distribution system investments over $500,000 will be submitted at least annual</w:t>
      </w:r>
      <w:r w:rsidR="00135030">
        <w:rPr>
          <w:rStyle w:val="fontstyle01"/>
          <w:rFonts w:ascii="Arial" w:hAnsi="Arial" w:cs="Arial"/>
        </w:rPr>
        <w:t>ly</w:t>
      </w:r>
      <w:r w:rsidRPr="00007910" w:rsidR="0060560C">
        <w:rPr>
          <w:rStyle w:val="fontstyle01"/>
          <w:rFonts w:ascii="Arial" w:hAnsi="Arial" w:cs="Arial"/>
        </w:rPr>
        <w:t xml:space="preserve"> to the Authority and the Third-Party Administrator who will review the projects with the EDCs and stakeholders. The EDCs will also annually submit the information contained in </w:t>
      </w:r>
      <w:r w:rsidRPr="00007910" w:rsidR="003C5208">
        <w:rPr>
          <w:rStyle w:val="fontstyle01"/>
          <w:rFonts w:ascii="Arial" w:hAnsi="Arial" w:cs="Arial"/>
        </w:rPr>
        <w:t>A</w:t>
      </w:r>
      <w:r w:rsidRPr="00007910" w:rsidR="0060560C">
        <w:rPr>
          <w:rStyle w:val="fontstyle01"/>
          <w:rFonts w:ascii="Arial" w:hAnsi="Arial" w:cs="Arial"/>
        </w:rPr>
        <w:t>ppendix</w:t>
      </w:r>
      <w:r w:rsidRPr="00007910" w:rsidR="003C5208">
        <w:rPr>
          <w:rStyle w:val="fontstyle01"/>
          <w:rFonts w:ascii="Arial" w:hAnsi="Arial" w:cs="Arial"/>
        </w:rPr>
        <w:t xml:space="preserve"> B</w:t>
      </w:r>
      <w:r w:rsidRPr="00007910" w:rsidR="0060560C">
        <w:rPr>
          <w:rStyle w:val="fontstyle01"/>
          <w:rFonts w:ascii="Arial" w:hAnsi="Arial" w:cs="Arial"/>
        </w:rPr>
        <w:t xml:space="preserve"> to this NWA Program Document.</w:t>
      </w:r>
    </w:p>
    <w:p w:rsidRPr="00007910" w:rsidR="00F0374A" w:rsidP="00A75E2F" w:rsidRDefault="0060560C" w14:paraId="00CAE61D" w14:textId="6CCB525A">
      <w:pPr>
        <w:jc w:val="both"/>
        <w:rPr>
          <w:rStyle w:val="fontstyle01"/>
          <w:rFonts w:ascii="Arial" w:hAnsi="Arial" w:cs="Arial"/>
        </w:rPr>
      </w:pPr>
      <w:r w:rsidRPr="00007910">
        <w:rPr>
          <w:rStyle w:val="fontstyle01"/>
          <w:rFonts w:ascii="Arial" w:hAnsi="Arial" w:cs="Arial"/>
        </w:rPr>
        <w:t>As to the submission of system upgrades, t</w:t>
      </w:r>
      <w:r w:rsidRPr="00007910" w:rsidR="00BD3527">
        <w:rPr>
          <w:rStyle w:val="fontstyle01"/>
          <w:rFonts w:ascii="Arial" w:hAnsi="Arial" w:cs="Arial"/>
        </w:rPr>
        <w:t xml:space="preserve">he EDCs will identify the year of need, the violation(s) driving the need, the size and type of need and the EDC’s preferred or tentative solutions together with </w:t>
      </w:r>
      <w:r w:rsidRPr="00007910" w:rsidR="003850F7">
        <w:rPr>
          <w:rStyle w:val="fontstyle01"/>
          <w:rFonts w:ascii="Arial" w:hAnsi="Arial" w:cs="Arial"/>
        </w:rPr>
        <w:t xml:space="preserve">a </w:t>
      </w:r>
      <w:r w:rsidRPr="00007910" w:rsidR="00BD3527">
        <w:rPr>
          <w:rStyle w:val="fontstyle01"/>
          <w:rFonts w:ascii="Arial" w:hAnsi="Arial" w:cs="Arial"/>
        </w:rPr>
        <w:t>range of OPEX and CAPEX costs associated with each</w:t>
      </w:r>
      <w:r w:rsidRPr="00007910" w:rsidR="00781DD6">
        <w:rPr>
          <w:rStyle w:val="fontstyle01"/>
          <w:rFonts w:ascii="Arial" w:hAnsi="Arial" w:cs="Arial"/>
        </w:rPr>
        <w:t xml:space="preserve"> preferred or tentative</w:t>
      </w:r>
      <w:r w:rsidRPr="00007910" w:rsidR="00BD3527">
        <w:rPr>
          <w:rStyle w:val="fontstyle01"/>
          <w:rFonts w:ascii="Arial" w:hAnsi="Arial" w:cs="Arial"/>
        </w:rPr>
        <w:t xml:space="preserve"> solution. When there is a capacity and/or duration (number of hours per year, duration of each event) need to resolve the violation of need, the utility will specify that capacit</w:t>
      </w:r>
      <w:r w:rsidRPr="00007910" w:rsidR="00E73CA0">
        <w:rPr>
          <w:rStyle w:val="fontstyle01"/>
          <w:rFonts w:ascii="Arial" w:hAnsi="Arial" w:cs="Arial"/>
        </w:rPr>
        <w:t>y</w:t>
      </w:r>
      <w:r w:rsidRPr="00007910" w:rsidR="00BD3527">
        <w:rPr>
          <w:rStyle w:val="fontstyle01"/>
          <w:rFonts w:ascii="Arial" w:hAnsi="Arial" w:cs="Arial"/>
        </w:rPr>
        <w:t xml:space="preserve"> needed, hours of violation or projected violation</w:t>
      </w:r>
      <w:r w:rsidRPr="00007910" w:rsidR="00691AD7">
        <w:rPr>
          <w:rStyle w:val="fontstyle01"/>
          <w:rFonts w:ascii="Arial" w:hAnsi="Arial" w:cs="Arial"/>
        </w:rPr>
        <w:t>,</w:t>
      </w:r>
      <w:r w:rsidRPr="00007910" w:rsidR="00BD3527">
        <w:rPr>
          <w:rStyle w:val="fontstyle01"/>
          <w:rFonts w:ascii="Arial" w:hAnsi="Arial" w:cs="Arial"/>
        </w:rPr>
        <w:t xml:space="preserve"> and duration of violation or projected violations by event and year.</w:t>
      </w:r>
    </w:p>
    <w:p w:rsidRPr="00007910" w:rsidR="79559C51" w:rsidP="00A75E2F" w:rsidRDefault="79559C51" w14:paraId="2C47EF99" w14:textId="4AEBF0BA">
      <w:pPr>
        <w:jc w:val="both"/>
        <w:rPr>
          <w:rStyle w:val="fontstyle01"/>
          <w:rFonts w:ascii="Arial" w:hAnsi="Arial" w:cs="Arial"/>
        </w:rPr>
      </w:pPr>
      <w:r w:rsidRPr="00007910">
        <w:rPr>
          <w:rStyle w:val="fontstyle01"/>
          <w:rFonts w:ascii="Arial" w:hAnsi="Arial" w:cs="Arial"/>
        </w:rPr>
        <w:t xml:space="preserve">The Authority anticipates that the process of regular NWA meetings convened by the Third-Party Administrator will </w:t>
      </w:r>
      <w:r w:rsidRPr="00007910" w:rsidR="4E98481D">
        <w:rPr>
          <w:rStyle w:val="fontstyle01"/>
          <w:rFonts w:ascii="Arial" w:hAnsi="Arial" w:cs="Arial"/>
        </w:rPr>
        <w:t xml:space="preserve">proceed from need identification to need solution(s). Those solutions may be (1) through an NWA project or projects, (2) through </w:t>
      </w:r>
      <w:r w:rsidRPr="00007910" w:rsidR="556DA72B">
        <w:rPr>
          <w:rStyle w:val="fontstyle01"/>
          <w:rFonts w:ascii="Arial" w:hAnsi="Arial" w:cs="Arial"/>
        </w:rPr>
        <w:t xml:space="preserve">traditional distribution system upgrades, or (3) through a combination of an NWA approach with traditional distribution system upgrades. </w:t>
      </w:r>
      <w:r w:rsidRPr="00007910" w:rsidR="285D0761">
        <w:rPr>
          <w:rStyle w:val="fontstyle01"/>
          <w:rFonts w:ascii="Arial" w:hAnsi="Arial" w:cs="Arial"/>
        </w:rPr>
        <w:t xml:space="preserve">The overall guiding principle will be to identify value for Connecticut ratepayers and </w:t>
      </w:r>
      <w:r w:rsidRPr="00007910" w:rsidR="00730CBC">
        <w:rPr>
          <w:rStyle w:val="fontstyle01"/>
          <w:rFonts w:ascii="Arial" w:hAnsi="Arial" w:cs="Arial"/>
        </w:rPr>
        <w:t>societal benefits</w:t>
      </w:r>
      <w:r w:rsidRPr="00007910" w:rsidR="285D0761">
        <w:rPr>
          <w:rStyle w:val="fontstyle01"/>
          <w:rFonts w:ascii="Arial" w:hAnsi="Arial" w:cs="Arial"/>
        </w:rPr>
        <w:t xml:space="preserve"> over the long term.</w:t>
      </w:r>
      <w:r w:rsidRPr="00007910" w:rsidR="609B562E">
        <w:rPr>
          <w:rStyle w:val="fontstyle01"/>
          <w:rFonts w:ascii="Arial" w:hAnsi="Arial" w:cs="Arial"/>
        </w:rPr>
        <w:t xml:space="preserve"> </w:t>
      </w:r>
      <w:r w:rsidRPr="00007910" w:rsidR="00A835B2">
        <w:rPr>
          <w:rStyle w:val="fontstyle01"/>
          <w:rFonts w:ascii="Arial" w:hAnsi="Arial" w:cs="Arial"/>
        </w:rPr>
        <w:t>Experience in other states</w:t>
      </w:r>
      <w:r w:rsidRPr="00007910" w:rsidR="00372E9E">
        <w:rPr>
          <w:rStyle w:val="FootnoteReference"/>
          <w:rFonts w:cs="Arial"/>
          <w:color w:val="000000"/>
          <w:szCs w:val="24"/>
        </w:rPr>
        <w:footnoteReference w:id="11"/>
      </w:r>
      <w:r w:rsidRPr="00007910" w:rsidR="00A835B2">
        <w:rPr>
          <w:rStyle w:val="fontstyle01"/>
          <w:rFonts w:ascii="Arial" w:hAnsi="Arial" w:cs="Arial"/>
        </w:rPr>
        <w:t xml:space="preserve"> has shown that even where a</w:t>
      </w:r>
      <w:r w:rsidRPr="00007910" w:rsidR="009E0446">
        <w:rPr>
          <w:rStyle w:val="fontstyle01"/>
          <w:rFonts w:ascii="Arial" w:hAnsi="Arial" w:cs="Arial"/>
        </w:rPr>
        <w:t>n</w:t>
      </w:r>
      <w:r w:rsidRPr="00007910" w:rsidR="00A835B2">
        <w:rPr>
          <w:rStyle w:val="fontstyle01"/>
          <w:rFonts w:ascii="Arial" w:hAnsi="Arial" w:cs="Arial"/>
        </w:rPr>
        <w:t xml:space="preserve"> NWA solution</w:t>
      </w:r>
      <w:r w:rsidRPr="00007910" w:rsidR="00CF7383">
        <w:rPr>
          <w:rStyle w:val="fontstyle01"/>
          <w:rFonts w:ascii="Arial" w:hAnsi="Arial" w:cs="Arial"/>
        </w:rPr>
        <w:t xml:space="preserve"> does not completely meet an identified need, NWA solutions </w:t>
      </w:r>
      <w:r w:rsidRPr="00007910" w:rsidR="00804D8B">
        <w:rPr>
          <w:rStyle w:val="fontstyle01"/>
          <w:rFonts w:ascii="Arial" w:hAnsi="Arial" w:cs="Arial"/>
        </w:rPr>
        <w:t xml:space="preserve">can result in cost savings and </w:t>
      </w:r>
      <w:r w:rsidRPr="00007910" w:rsidR="009E0446">
        <w:rPr>
          <w:rStyle w:val="fontstyle01"/>
          <w:rFonts w:ascii="Arial" w:hAnsi="Arial" w:cs="Arial"/>
        </w:rPr>
        <w:t xml:space="preserve">smaller traditional distribution system upgrades than would have been needed absent an NWA. </w:t>
      </w:r>
      <w:r w:rsidRPr="00007910" w:rsidR="609B562E">
        <w:rPr>
          <w:rStyle w:val="fontstyle01"/>
          <w:rFonts w:ascii="Arial" w:hAnsi="Arial" w:cs="Arial"/>
        </w:rPr>
        <w:t xml:space="preserve">NWA projects that propose superior benefits to traditional distribution system upgrades may be considered even at </w:t>
      </w:r>
      <w:r w:rsidRPr="00007910" w:rsidR="00510D00">
        <w:rPr>
          <w:rStyle w:val="fontstyle01"/>
          <w:rFonts w:ascii="Arial" w:hAnsi="Arial" w:cs="Arial"/>
        </w:rPr>
        <w:t xml:space="preserve">similar </w:t>
      </w:r>
      <w:r w:rsidRPr="00007910" w:rsidR="609B562E">
        <w:rPr>
          <w:rStyle w:val="fontstyle01"/>
          <w:rFonts w:ascii="Arial" w:hAnsi="Arial" w:cs="Arial"/>
        </w:rPr>
        <w:t>costs</w:t>
      </w:r>
      <w:r w:rsidRPr="00007910" w:rsidR="00510D00">
        <w:rPr>
          <w:rStyle w:val="fontstyle01"/>
          <w:rFonts w:ascii="Arial" w:hAnsi="Arial" w:cs="Arial"/>
        </w:rPr>
        <w:t>. E</w:t>
      </w:r>
      <w:r w:rsidRPr="00007910" w:rsidR="5B27BA96">
        <w:rPr>
          <w:rStyle w:val="fontstyle01"/>
          <w:rFonts w:ascii="Arial" w:hAnsi="Arial" w:cs="Arial"/>
        </w:rPr>
        <w:t>xample</w:t>
      </w:r>
      <w:r w:rsidRPr="00007910" w:rsidR="00510D00">
        <w:rPr>
          <w:rStyle w:val="fontstyle01"/>
          <w:rFonts w:ascii="Arial" w:hAnsi="Arial" w:cs="Arial"/>
        </w:rPr>
        <w:t>s</w:t>
      </w:r>
      <w:r w:rsidRPr="00007910" w:rsidR="5B27BA96">
        <w:rPr>
          <w:rStyle w:val="fontstyle01"/>
          <w:rFonts w:ascii="Arial" w:hAnsi="Arial" w:cs="Arial"/>
        </w:rPr>
        <w:t xml:space="preserve"> of such superior </w:t>
      </w:r>
      <w:r w:rsidRPr="00007910" w:rsidR="01BEDC9E">
        <w:rPr>
          <w:rStyle w:val="fontstyle01"/>
          <w:rFonts w:ascii="Arial" w:hAnsi="Arial" w:cs="Arial"/>
        </w:rPr>
        <w:t xml:space="preserve">public </w:t>
      </w:r>
      <w:r w:rsidRPr="00007910" w:rsidR="5B27BA96">
        <w:rPr>
          <w:rStyle w:val="fontstyle01"/>
          <w:rFonts w:ascii="Arial" w:hAnsi="Arial" w:cs="Arial"/>
        </w:rPr>
        <w:t xml:space="preserve">benefits for ratepayers may be NWA improvements as part of a public safety microgrid project that would provide </w:t>
      </w:r>
      <w:r w:rsidRPr="00007910" w:rsidR="6A18B1BF">
        <w:rPr>
          <w:rStyle w:val="fontstyle01"/>
          <w:rFonts w:ascii="Arial" w:hAnsi="Arial" w:cs="Arial"/>
        </w:rPr>
        <w:t>backup power for public safety, emergency or medical facilities when the</w:t>
      </w:r>
      <w:r w:rsidRPr="00007910" w:rsidR="226C6A05">
        <w:rPr>
          <w:rStyle w:val="fontstyle01"/>
          <w:rFonts w:ascii="Arial" w:hAnsi="Arial" w:cs="Arial"/>
        </w:rPr>
        <w:t xml:space="preserve"> grid</w:t>
      </w:r>
      <w:r w:rsidRPr="00007910" w:rsidR="6A18B1BF">
        <w:rPr>
          <w:rStyle w:val="fontstyle01"/>
          <w:rFonts w:ascii="Arial" w:hAnsi="Arial" w:cs="Arial"/>
        </w:rPr>
        <w:t xml:space="preserve"> is down due to extreme storm, cyber event or </w:t>
      </w:r>
      <w:r w:rsidRPr="00007910" w:rsidR="6E796257">
        <w:rPr>
          <w:rStyle w:val="fontstyle01"/>
          <w:rFonts w:ascii="Arial" w:hAnsi="Arial" w:cs="Arial"/>
        </w:rPr>
        <w:t>terrorists events</w:t>
      </w:r>
      <w:r w:rsidRPr="00007910" w:rsidR="003F784B">
        <w:rPr>
          <w:rStyle w:val="fontstyle01"/>
          <w:rFonts w:ascii="Arial" w:hAnsi="Arial" w:cs="Arial"/>
        </w:rPr>
        <w:t>, etc.</w:t>
      </w:r>
      <w:r w:rsidRPr="00007910" w:rsidR="6E796257">
        <w:rPr>
          <w:rStyle w:val="fontstyle01"/>
          <w:rFonts w:ascii="Arial" w:hAnsi="Arial" w:cs="Arial"/>
        </w:rPr>
        <w:t xml:space="preserve"> Other than superior </w:t>
      </w:r>
      <w:r w:rsidRPr="00007910" w:rsidR="7BDC785B">
        <w:rPr>
          <w:rStyle w:val="fontstyle01"/>
          <w:rFonts w:ascii="Arial" w:hAnsi="Arial" w:cs="Arial"/>
        </w:rPr>
        <w:t xml:space="preserve">public benefits for ratepayers, </w:t>
      </w:r>
      <w:r w:rsidR="00135030">
        <w:rPr>
          <w:rStyle w:val="fontstyle01"/>
          <w:rFonts w:ascii="Arial" w:hAnsi="Arial" w:cs="Arial"/>
        </w:rPr>
        <w:t>the Authority</w:t>
      </w:r>
      <w:r w:rsidRPr="00007910" w:rsidR="7BDC785B">
        <w:rPr>
          <w:rStyle w:val="fontstyle01"/>
          <w:rFonts w:ascii="Arial" w:hAnsi="Arial" w:cs="Arial"/>
        </w:rPr>
        <w:t xml:space="preserve"> expect</w:t>
      </w:r>
      <w:r w:rsidR="00135030">
        <w:rPr>
          <w:rStyle w:val="fontstyle01"/>
          <w:rFonts w:ascii="Arial" w:hAnsi="Arial" w:cs="Arial"/>
        </w:rPr>
        <w:t>s</w:t>
      </w:r>
      <w:r w:rsidRPr="00007910" w:rsidR="7BDC785B">
        <w:rPr>
          <w:rStyle w:val="fontstyle01"/>
          <w:rFonts w:ascii="Arial" w:hAnsi="Arial" w:cs="Arial"/>
        </w:rPr>
        <w:t xml:space="preserve"> the Third-Party Administrator would strive to identify cost savings</w:t>
      </w:r>
      <w:r w:rsidRPr="00007910" w:rsidR="6777E59A">
        <w:rPr>
          <w:rStyle w:val="fontstyle01"/>
          <w:rFonts w:ascii="Arial" w:hAnsi="Arial" w:cs="Arial"/>
        </w:rPr>
        <w:t xml:space="preserve"> </w:t>
      </w:r>
      <w:r w:rsidRPr="00007910" w:rsidR="7BDC785B">
        <w:rPr>
          <w:rStyle w:val="fontstyle01"/>
          <w:rFonts w:ascii="Arial" w:hAnsi="Arial" w:cs="Arial"/>
        </w:rPr>
        <w:t xml:space="preserve">or </w:t>
      </w:r>
      <w:r w:rsidRPr="00007910" w:rsidR="5BF8204B">
        <w:rPr>
          <w:rStyle w:val="fontstyle01"/>
          <w:rFonts w:ascii="Arial" w:hAnsi="Arial" w:cs="Arial"/>
        </w:rPr>
        <w:t xml:space="preserve">service and </w:t>
      </w:r>
      <w:r w:rsidRPr="00007910" w:rsidR="7BDC785B">
        <w:rPr>
          <w:rStyle w:val="fontstyle01"/>
          <w:rFonts w:ascii="Arial" w:hAnsi="Arial" w:cs="Arial"/>
        </w:rPr>
        <w:t>reliability benefits for ratepayers from NWA projects.</w:t>
      </w:r>
      <w:r w:rsidRPr="00007910" w:rsidR="61958158">
        <w:rPr>
          <w:rStyle w:val="fontstyle01"/>
          <w:rFonts w:ascii="Arial" w:hAnsi="Arial" w:cs="Arial"/>
        </w:rPr>
        <w:t xml:space="preserve"> The Authority also notes that it is likely that NWA projects may involve aspects of upgrades to traditional distribution systems by the utilities as well.</w:t>
      </w:r>
    </w:p>
    <w:p w:rsidRPr="00007910" w:rsidR="00C22F7C" w:rsidP="00A75E2F" w:rsidRDefault="00AA6A7F" w14:paraId="3BA5F2EE" w14:textId="4B92B27C">
      <w:pPr>
        <w:jc w:val="both"/>
        <w:rPr>
          <w:rStyle w:val="fontstyle01"/>
          <w:rFonts w:ascii="Arial" w:hAnsi="Arial" w:cs="Arial"/>
        </w:rPr>
      </w:pPr>
      <w:r w:rsidRPr="00007910">
        <w:rPr>
          <w:rStyle w:val="fontstyle01"/>
          <w:rFonts w:ascii="Arial" w:hAnsi="Arial" w:cs="Arial"/>
        </w:rPr>
        <w:t>All stakeholder reviewed screenings</w:t>
      </w:r>
      <w:r w:rsidRPr="00007910" w:rsidR="0060560C">
        <w:rPr>
          <w:rStyle w:val="fontstyle01"/>
          <w:rFonts w:ascii="Arial" w:hAnsi="Arial" w:cs="Arial"/>
        </w:rPr>
        <w:t xml:space="preserve"> for NWAs</w:t>
      </w:r>
      <w:r w:rsidRPr="00007910">
        <w:rPr>
          <w:rStyle w:val="fontstyle01"/>
          <w:rFonts w:ascii="Arial" w:hAnsi="Arial" w:cs="Arial"/>
        </w:rPr>
        <w:t xml:space="preserve"> will be submitted to PURA for review by the Third-Party Administrator</w:t>
      </w:r>
      <w:r w:rsidRPr="00007910" w:rsidR="0060560C">
        <w:rPr>
          <w:rStyle w:val="fontstyle01"/>
          <w:rFonts w:ascii="Arial" w:hAnsi="Arial" w:cs="Arial"/>
        </w:rPr>
        <w:t xml:space="preserve"> upon a</w:t>
      </w:r>
      <w:r w:rsidRPr="00007910" w:rsidR="00C22F7C">
        <w:rPr>
          <w:rStyle w:val="fontstyle01"/>
          <w:rFonts w:ascii="Arial" w:hAnsi="Arial" w:cs="Arial"/>
        </w:rPr>
        <w:t xml:space="preserve"> </w:t>
      </w:r>
      <w:r w:rsidRPr="00007910">
        <w:rPr>
          <w:rStyle w:val="fontstyle01"/>
          <w:rFonts w:ascii="Arial" w:hAnsi="Arial" w:cs="Arial"/>
        </w:rPr>
        <w:t>joint motion of the stakeholders reviewing it.</w:t>
      </w:r>
      <w:r w:rsidR="00135030">
        <w:rPr>
          <w:rStyle w:val="fontstyle01"/>
          <w:rFonts w:ascii="Arial" w:hAnsi="Arial" w:cs="Arial"/>
        </w:rPr>
        <w:t xml:space="preserve"> </w:t>
      </w:r>
      <w:r w:rsidRPr="00007910" w:rsidR="00C22F7C">
        <w:rPr>
          <w:rStyle w:val="fontstyle01"/>
          <w:rFonts w:ascii="Arial" w:hAnsi="Arial" w:cs="Arial"/>
        </w:rPr>
        <w:t xml:space="preserve">The Authority expects to receive at least quarterly updates from the Third-Party Administrator on status of review of distribution system investments, NWA opportunities, the quality of </w:t>
      </w:r>
      <w:r w:rsidRPr="00007910" w:rsidR="00C22F7C">
        <w:rPr>
          <w:rStyle w:val="fontstyle01"/>
          <w:rFonts w:ascii="Arial" w:hAnsi="Arial" w:cs="Arial"/>
        </w:rPr>
        <w:lastRenderedPageBreak/>
        <w:t>information provided by the EDCs</w:t>
      </w:r>
      <w:r w:rsidRPr="00007910" w:rsidR="00785BFD">
        <w:rPr>
          <w:rStyle w:val="fontstyle01"/>
          <w:rFonts w:ascii="Arial" w:hAnsi="Arial" w:cs="Arial"/>
        </w:rPr>
        <w:t>,</w:t>
      </w:r>
      <w:r w:rsidRPr="00007910" w:rsidR="00C22F7C">
        <w:rPr>
          <w:rStyle w:val="fontstyle01"/>
          <w:rFonts w:ascii="Arial" w:hAnsi="Arial" w:cs="Arial"/>
        </w:rPr>
        <w:t xml:space="preserve"> and interest of third parties in all NWA opportunities.  The updates may be in person public meetings whereby the Third-Party Administrator updates the Authority on status each of the broad items enumerated herein.</w:t>
      </w:r>
    </w:p>
    <w:p w:rsidRPr="00007910" w:rsidR="00BD3527" w:rsidP="005A6CBC" w:rsidRDefault="00BD3527" w14:paraId="3DBBB443" w14:textId="40C6933A">
      <w:pPr>
        <w:pStyle w:val="ListParagraph"/>
        <w:numPr>
          <w:ilvl w:val="1"/>
          <w:numId w:val="4"/>
        </w:numPr>
        <w:spacing w:line="240" w:lineRule="auto"/>
        <w:rPr>
          <w:rStyle w:val="fontstyle01"/>
          <w:rFonts w:ascii="Arial" w:hAnsi="Arial" w:cs="Arial"/>
          <w:b/>
          <w:bCs/>
        </w:rPr>
      </w:pPr>
      <w:r w:rsidRPr="00007910">
        <w:rPr>
          <w:rStyle w:val="fontstyle01"/>
          <w:rFonts w:ascii="Arial" w:hAnsi="Arial" w:cs="Arial"/>
          <w:b/>
          <w:bCs/>
        </w:rPr>
        <w:t>Competitive Solicitation Process</w:t>
      </w:r>
    </w:p>
    <w:p w:rsidRPr="00007910" w:rsidR="00BD3527" w:rsidP="00A75E2F" w:rsidRDefault="00BD3527" w14:paraId="45C4A248" w14:textId="7BC17A9C">
      <w:pPr>
        <w:jc w:val="both"/>
        <w:rPr>
          <w:rStyle w:val="fontstyle01"/>
          <w:rFonts w:ascii="Arial" w:hAnsi="Arial" w:cs="Arial"/>
        </w:rPr>
      </w:pPr>
      <w:r w:rsidRPr="00007910">
        <w:rPr>
          <w:rStyle w:val="fontstyle01"/>
          <w:rFonts w:ascii="Arial" w:hAnsi="Arial" w:cs="Arial"/>
        </w:rPr>
        <w:t>When a</w:t>
      </w:r>
      <w:r w:rsidRPr="00007910" w:rsidR="00436C70">
        <w:rPr>
          <w:rStyle w:val="fontstyle01"/>
          <w:rFonts w:ascii="Arial" w:hAnsi="Arial" w:cs="Arial"/>
        </w:rPr>
        <w:t>n</w:t>
      </w:r>
      <w:r w:rsidRPr="00007910">
        <w:rPr>
          <w:rStyle w:val="fontstyle01"/>
          <w:rFonts w:ascii="Arial" w:hAnsi="Arial" w:cs="Arial"/>
        </w:rPr>
        <w:t xml:space="preserve"> NWA Solution may be feasible in the judgement of the independent </w:t>
      </w:r>
      <w:r w:rsidRPr="00007910" w:rsidR="005216DB">
        <w:rPr>
          <w:rStyle w:val="fontstyle01"/>
          <w:rFonts w:ascii="Arial" w:hAnsi="Arial" w:cs="Arial"/>
        </w:rPr>
        <w:t>Third-Party Administrator</w:t>
      </w:r>
      <w:r w:rsidRPr="00007910">
        <w:rPr>
          <w:rStyle w:val="fontstyle01"/>
          <w:rFonts w:ascii="Arial" w:hAnsi="Arial" w:cs="Arial"/>
        </w:rPr>
        <w:t xml:space="preserve">, the </w:t>
      </w:r>
      <w:r w:rsidRPr="00007910" w:rsidR="005216DB">
        <w:rPr>
          <w:rStyle w:val="fontstyle01"/>
          <w:rFonts w:ascii="Arial" w:hAnsi="Arial" w:cs="Arial"/>
        </w:rPr>
        <w:t xml:space="preserve">Third-Party Administrator </w:t>
      </w:r>
      <w:r w:rsidRPr="00007910">
        <w:rPr>
          <w:rStyle w:val="fontstyle01"/>
          <w:rFonts w:ascii="Arial" w:hAnsi="Arial" w:cs="Arial"/>
        </w:rPr>
        <w:t xml:space="preserve">may prepare a solicitation RFP for a </w:t>
      </w:r>
      <w:r w:rsidRPr="00007910" w:rsidR="008B21C1">
        <w:rPr>
          <w:rStyle w:val="fontstyle01"/>
          <w:rFonts w:ascii="Arial" w:hAnsi="Arial" w:cs="Arial"/>
        </w:rPr>
        <w:t>competitive</w:t>
      </w:r>
      <w:r w:rsidRPr="00007910">
        <w:rPr>
          <w:rStyle w:val="fontstyle01"/>
          <w:rFonts w:ascii="Arial" w:hAnsi="Arial" w:cs="Arial"/>
        </w:rPr>
        <w:t xml:space="preserve"> solicitation. The </w:t>
      </w:r>
      <w:r w:rsidRPr="00007910" w:rsidR="005216DB">
        <w:rPr>
          <w:rStyle w:val="fontstyle01"/>
          <w:rFonts w:ascii="Arial" w:hAnsi="Arial" w:cs="Arial"/>
        </w:rPr>
        <w:t xml:space="preserve">Third-Party Administrator </w:t>
      </w:r>
      <w:r w:rsidRPr="00007910">
        <w:rPr>
          <w:rStyle w:val="fontstyle01"/>
          <w:rFonts w:ascii="Arial" w:hAnsi="Arial" w:cs="Arial"/>
        </w:rPr>
        <w:t xml:space="preserve">will share the draft </w:t>
      </w:r>
      <w:r w:rsidRPr="00007910" w:rsidR="008B21C1">
        <w:rPr>
          <w:rStyle w:val="fontstyle01"/>
          <w:rFonts w:ascii="Arial" w:hAnsi="Arial" w:cs="Arial"/>
        </w:rPr>
        <w:t>solicitation</w:t>
      </w:r>
      <w:r w:rsidRPr="00007910">
        <w:rPr>
          <w:rStyle w:val="fontstyle01"/>
          <w:rFonts w:ascii="Arial" w:hAnsi="Arial" w:cs="Arial"/>
        </w:rPr>
        <w:t xml:space="preserve"> with the EDC involved for comment and attempt to refine the needs cooperatively with the EDC. The EDC shall also cooperate in good faith with the </w:t>
      </w:r>
      <w:r w:rsidRPr="00007910" w:rsidR="005216DB">
        <w:rPr>
          <w:rStyle w:val="fontstyle01"/>
          <w:rFonts w:ascii="Arial" w:hAnsi="Arial" w:cs="Arial"/>
        </w:rPr>
        <w:t xml:space="preserve">Third-Party Administrator </w:t>
      </w:r>
      <w:r w:rsidRPr="00007910">
        <w:rPr>
          <w:rStyle w:val="fontstyle01"/>
          <w:rFonts w:ascii="Arial" w:hAnsi="Arial" w:cs="Arial"/>
        </w:rPr>
        <w:t>to refine</w:t>
      </w:r>
      <w:r w:rsidRPr="00007910" w:rsidR="00436C70">
        <w:rPr>
          <w:rStyle w:val="fontstyle01"/>
          <w:rFonts w:ascii="Arial" w:hAnsi="Arial" w:cs="Arial"/>
        </w:rPr>
        <w:t xml:space="preserve"> any NWA RFP.</w:t>
      </w:r>
    </w:p>
    <w:p w:rsidRPr="00007910" w:rsidR="003D3A3E" w:rsidP="00A75E2F" w:rsidRDefault="003D3A3E" w14:paraId="6F6B29F5" w14:textId="49C9D677">
      <w:pPr>
        <w:jc w:val="both"/>
        <w:rPr>
          <w:rStyle w:val="fontstyle01"/>
          <w:rFonts w:ascii="Arial" w:hAnsi="Arial" w:cs="Arial"/>
        </w:rPr>
      </w:pPr>
      <w:r w:rsidRPr="00007910">
        <w:rPr>
          <w:rStyle w:val="fontstyle01"/>
          <w:rFonts w:ascii="Arial" w:hAnsi="Arial" w:cs="Arial"/>
        </w:rPr>
        <w:t xml:space="preserve">As noted above, the Third-Party Administrator is encouraged to issue RFIs </w:t>
      </w:r>
      <w:r w:rsidRPr="00007910" w:rsidR="00003BCF">
        <w:rPr>
          <w:rStyle w:val="fontstyle01"/>
          <w:rFonts w:ascii="Arial" w:hAnsi="Arial" w:cs="Arial"/>
        </w:rPr>
        <w:t xml:space="preserve">to gather additional information from </w:t>
      </w:r>
      <w:r w:rsidRPr="00007910" w:rsidR="00310A20">
        <w:rPr>
          <w:rStyle w:val="fontstyle01"/>
          <w:rFonts w:ascii="Arial" w:hAnsi="Arial" w:cs="Arial"/>
        </w:rPr>
        <w:t>E</w:t>
      </w:r>
      <w:r w:rsidRPr="00007910" w:rsidR="00003BCF">
        <w:rPr>
          <w:rStyle w:val="fontstyle01"/>
          <w:rFonts w:ascii="Arial" w:hAnsi="Arial" w:cs="Arial"/>
        </w:rPr>
        <w:t>DCs, alternative energy companies, potential bidders</w:t>
      </w:r>
      <w:r w:rsidRPr="00007910" w:rsidR="00310A20">
        <w:rPr>
          <w:rStyle w:val="fontstyle01"/>
          <w:rFonts w:ascii="Arial" w:hAnsi="Arial" w:cs="Arial"/>
        </w:rPr>
        <w:t>,</w:t>
      </w:r>
      <w:r w:rsidRPr="00007910" w:rsidR="00003BCF">
        <w:rPr>
          <w:rStyle w:val="fontstyle01"/>
          <w:rFonts w:ascii="Arial" w:hAnsi="Arial" w:cs="Arial"/>
        </w:rPr>
        <w:t xml:space="preserve"> and other stakeholders. Such additional information can involve technical needs to safely and reliability address a potential violation, information on the potential violation</w:t>
      </w:r>
      <w:r w:rsidRPr="00007910" w:rsidR="00310A20">
        <w:rPr>
          <w:rStyle w:val="fontstyle01"/>
          <w:rFonts w:ascii="Arial" w:hAnsi="Arial" w:cs="Arial"/>
        </w:rPr>
        <w:t>,</w:t>
      </w:r>
      <w:r w:rsidRPr="00007910" w:rsidR="00003BCF">
        <w:rPr>
          <w:rStyle w:val="fontstyle01"/>
          <w:rFonts w:ascii="Arial" w:hAnsi="Arial" w:cs="Arial"/>
        </w:rPr>
        <w:t xml:space="preserve"> or types of NWA elements and combinations of technologies, reserves and redundancies required. This list of RFI requests is not exclusive</w:t>
      </w:r>
      <w:r w:rsidRPr="00007910" w:rsidR="001D297A">
        <w:rPr>
          <w:rStyle w:val="fontstyle01"/>
          <w:rFonts w:ascii="Arial" w:hAnsi="Arial" w:cs="Arial"/>
        </w:rPr>
        <w:t xml:space="preserve"> or limited to these items. Other NWA processes have found RFIs to be useful prior to issu</w:t>
      </w:r>
      <w:r w:rsidR="000C1974">
        <w:rPr>
          <w:rStyle w:val="fontstyle01"/>
          <w:rFonts w:ascii="Arial" w:hAnsi="Arial" w:cs="Arial"/>
        </w:rPr>
        <w:t>ance</w:t>
      </w:r>
      <w:r w:rsidRPr="00007910" w:rsidR="001D297A">
        <w:rPr>
          <w:rStyle w:val="fontstyle01"/>
          <w:rFonts w:ascii="Arial" w:hAnsi="Arial" w:cs="Arial"/>
        </w:rPr>
        <w:t xml:space="preserve"> of an RFP</w:t>
      </w:r>
      <w:r w:rsidRPr="00007910" w:rsidR="00003BCF">
        <w:rPr>
          <w:rStyle w:val="fontstyle01"/>
          <w:rFonts w:ascii="Arial" w:hAnsi="Arial" w:cs="Arial"/>
        </w:rPr>
        <w:t>.</w:t>
      </w:r>
    </w:p>
    <w:p w:rsidRPr="00007910" w:rsidR="00436C70" w:rsidP="00A75E2F" w:rsidRDefault="00436C70" w14:paraId="5FCC962A" w14:textId="5F357E74">
      <w:pPr>
        <w:jc w:val="both"/>
        <w:rPr>
          <w:rStyle w:val="fontstyle01"/>
          <w:rFonts w:ascii="Arial" w:hAnsi="Arial" w:cs="Arial"/>
        </w:rPr>
      </w:pPr>
      <w:r w:rsidRPr="00007910">
        <w:rPr>
          <w:rStyle w:val="fontstyle01"/>
          <w:rFonts w:ascii="Arial" w:hAnsi="Arial" w:cs="Arial"/>
        </w:rPr>
        <w:t xml:space="preserve">The </w:t>
      </w:r>
      <w:r w:rsidRPr="00007910" w:rsidR="005216DB">
        <w:rPr>
          <w:rStyle w:val="fontstyle01"/>
          <w:rFonts w:ascii="Arial" w:hAnsi="Arial" w:cs="Arial"/>
        </w:rPr>
        <w:t xml:space="preserve">Third-Party Administrator </w:t>
      </w:r>
      <w:r w:rsidRPr="00007910">
        <w:rPr>
          <w:rStyle w:val="fontstyle01"/>
          <w:rFonts w:ascii="Arial" w:hAnsi="Arial" w:cs="Arial"/>
        </w:rPr>
        <w:t>shall issue an NWA RFP and evaluat</w:t>
      </w:r>
      <w:r w:rsidRPr="00007910" w:rsidR="005216DB">
        <w:rPr>
          <w:rStyle w:val="fontstyle01"/>
          <w:rFonts w:ascii="Arial" w:hAnsi="Arial" w:cs="Arial"/>
        </w:rPr>
        <w:t>e</w:t>
      </w:r>
      <w:r w:rsidRPr="00007910">
        <w:rPr>
          <w:rStyle w:val="fontstyle01"/>
          <w:rFonts w:ascii="Arial" w:hAnsi="Arial" w:cs="Arial"/>
        </w:rPr>
        <w:t xml:space="preserve"> </w:t>
      </w:r>
      <w:r w:rsidR="000C1974">
        <w:rPr>
          <w:rStyle w:val="fontstyle01"/>
          <w:rFonts w:ascii="Arial" w:hAnsi="Arial" w:cs="Arial"/>
        </w:rPr>
        <w:t xml:space="preserve">the </w:t>
      </w:r>
      <w:r w:rsidRPr="00007910" w:rsidR="005216DB">
        <w:rPr>
          <w:rStyle w:val="fontstyle01"/>
          <w:rFonts w:ascii="Arial" w:hAnsi="Arial" w:cs="Arial"/>
        </w:rPr>
        <w:t>resulting proposal</w:t>
      </w:r>
      <w:r w:rsidRPr="00007910">
        <w:rPr>
          <w:rStyle w:val="fontstyle01"/>
          <w:rFonts w:ascii="Arial" w:hAnsi="Arial" w:cs="Arial"/>
        </w:rPr>
        <w:t xml:space="preserve">. In the judgment of the </w:t>
      </w:r>
      <w:r w:rsidRPr="00007910" w:rsidR="005216DB">
        <w:rPr>
          <w:rStyle w:val="fontstyle01"/>
          <w:rFonts w:ascii="Arial" w:hAnsi="Arial" w:cs="Arial"/>
        </w:rPr>
        <w:t>Third-Party Administrator</w:t>
      </w:r>
      <w:r w:rsidRPr="00007910">
        <w:rPr>
          <w:rStyle w:val="fontstyle01"/>
          <w:rFonts w:ascii="Arial" w:hAnsi="Arial" w:cs="Arial"/>
        </w:rPr>
        <w:t xml:space="preserve">, it may involve the EDC in reviewing technical (but not pricing) aspects of proposed solutions. </w:t>
      </w:r>
      <w:r w:rsidRPr="00007910" w:rsidR="005216DB">
        <w:rPr>
          <w:rStyle w:val="fontstyle01"/>
          <w:rFonts w:ascii="Arial" w:hAnsi="Arial" w:cs="Arial"/>
        </w:rPr>
        <w:t xml:space="preserve">If the EDC is bidding on the project or has an </w:t>
      </w:r>
      <w:r w:rsidRPr="00007910" w:rsidR="008B21C1">
        <w:rPr>
          <w:rStyle w:val="fontstyle01"/>
          <w:rFonts w:ascii="Arial" w:hAnsi="Arial" w:cs="Arial"/>
        </w:rPr>
        <w:t>affiliate</w:t>
      </w:r>
      <w:r w:rsidRPr="00007910" w:rsidR="005216DB">
        <w:rPr>
          <w:rStyle w:val="fontstyle01"/>
          <w:rFonts w:ascii="Arial" w:hAnsi="Arial" w:cs="Arial"/>
        </w:rPr>
        <w:t xml:space="preserve"> bidding on the NWA project, </w:t>
      </w:r>
      <w:r w:rsidRPr="00007910" w:rsidR="00E90FB1">
        <w:rPr>
          <w:rStyle w:val="fontstyle01"/>
          <w:rFonts w:ascii="Arial" w:hAnsi="Arial" w:cs="Arial"/>
        </w:rPr>
        <w:t>the Authority would not expect the Third-Party Administrator to involve the EDC in the evaluation.</w:t>
      </w:r>
    </w:p>
    <w:p w:rsidRPr="00007910" w:rsidR="00376D40" w:rsidP="00A75E2F" w:rsidRDefault="00436C70" w14:paraId="60B1CFF9" w14:textId="593C9CC1">
      <w:pPr>
        <w:jc w:val="both"/>
        <w:rPr>
          <w:rStyle w:val="fontstyle01"/>
          <w:rFonts w:ascii="Arial" w:hAnsi="Arial" w:cs="Arial"/>
        </w:rPr>
      </w:pPr>
      <w:r w:rsidRPr="00007910">
        <w:rPr>
          <w:rStyle w:val="fontstyle01"/>
          <w:rFonts w:ascii="Arial" w:hAnsi="Arial" w:cs="Arial"/>
        </w:rPr>
        <w:t xml:space="preserve">The </w:t>
      </w:r>
      <w:r w:rsidRPr="00007910" w:rsidR="00E90FB1">
        <w:rPr>
          <w:rStyle w:val="fontstyle01"/>
          <w:rFonts w:ascii="Arial" w:hAnsi="Arial" w:cs="Arial"/>
        </w:rPr>
        <w:t xml:space="preserve">Third-Party Administrator may </w:t>
      </w:r>
      <w:r w:rsidRPr="00007910">
        <w:rPr>
          <w:rStyle w:val="fontstyle01"/>
          <w:rFonts w:ascii="Arial" w:hAnsi="Arial" w:cs="Arial"/>
        </w:rPr>
        <w:t xml:space="preserve">make recommendations to PURA on procurement of NWAs. </w:t>
      </w:r>
      <w:r w:rsidRPr="00007910" w:rsidR="00376D40">
        <w:rPr>
          <w:rStyle w:val="fontstyle01"/>
          <w:rFonts w:ascii="Arial" w:hAnsi="Arial" w:cs="Arial"/>
        </w:rPr>
        <w:t xml:space="preserve">The Third-Party Administrator recommendations will include application of the existing </w:t>
      </w:r>
      <w:r w:rsidRPr="00007910" w:rsidR="00450A99">
        <w:rPr>
          <w:rStyle w:val="fontstyle01"/>
          <w:rFonts w:ascii="Arial" w:hAnsi="Arial" w:cs="Arial"/>
        </w:rPr>
        <w:t>Conservation and Load Management (</w:t>
      </w:r>
      <w:r w:rsidRPr="00007910" w:rsidR="00376D40">
        <w:rPr>
          <w:rStyle w:val="fontstyle01"/>
          <w:rFonts w:ascii="Arial" w:hAnsi="Arial" w:cs="Arial"/>
        </w:rPr>
        <w:t>C</w:t>
      </w:r>
      <w:r w:rsidRPr="00007910" w:rsidR="00450A99">
        <w:rPr>
          <w:rStyle w:val="fontstyle01"/>
          <w:rFonts w:ascii="Arial" w:hAnsi="Arial" w:cs="Arial"/>
        </w:rPr>
        <w:t>&amp;</w:t>
      </w:r>
      <w:r w:rsidRPr="00007910" w:rsidR="00376D40">
        <w:rPr>
          <w:rStyle w:val="fontstyle01"/>
          <w:rFonts w:ascii="Arial" w:hAnsi="Arial" w:cs="Arial"/>
        </w:rPr>
        <w:t>LM</w:t>
      </w:r>
      <w:r w:rsidRPr="00007910" w:rsidR="00450A99">
        <w:rPr>
          <w:rStyle w:val="fontstyle01"/>
          <w:rFonts w:ascii="Arial" w:hAnsi="Arial" w:cs="Arial"/>
        </w:rPr>
        <w:t>) plan</w:t>
      </w:r>
      <w:r w:rsidRPr="00007910" w:rsidR="00376D40">
        <w:rPr>
          <w:rStyle w:val="fontstyle01"/>
          <w:rFonts w:ascii="Arial" w:hAnsi="Arial" w:cs="Arial"/>
        </w:rPr>
        <w:t xml:space="preserve"> and ratepayer impact tests applied in Connecticut as well as benefit-cost framework elements addressed below in Section F.</w:t>
      </w:r>
      <w:r w:rsidRPr="00007910">
        <w:rPr>
          <w:rStyle w:val="fontstyle01"/>
          <w:rFonts w:ascii="Arial" w:hAnsi="Arial" w:cs="Arial"/>
        </w:rPr>
        <w:t xml:space="preserve"> </w:t>
      </w:r>
      <w:r w:rsidRPr="00007910" w:rsidR="00376D40">
        <w:rPr>
          <w:rStyle w:val="fontstyle01"/>
          <w:rFonts w:ascii="Arial" w:hAnsi="Arial" w:cs="Arial"/>
        </w:rPr>
        <w:t xml:space="preserve">The Third-Party Administrator will </w:t>
      </w:r>
      <w:r w:rsidRPr="00007910" w:rsidR="00376D40">
        <w:rPr>
          <w:rFonts w:ascii="Arial" w:hAnsi="Arial" w:cs="Arial"/>
          <w:sz w:val="24"/>
          <w:szCs w:val="24"/>
        </w:rPr>
        <w:t>provide a technical feasibility analysis, compare the NWA to the traditional alternatives including whether the NWA would provide at least the same level of reliability and resilience; and a narrative comparing the society costs/benefits of the NWA</w:t>
      </w:r>
      <w:r w:rsidRPr="00007910" w:rsidR="009D2764">
        <w:rPr>
          <w:rFonts w:ascii="Arial" w:hAnsi="Arial" w:cs="Arial"/>
          <w:sz w:val="24"/>
          <w:szCs w:val="24"/>
        </w:rPr>
        <w:t>,</w:t>
      </w:r>
      <w:r w:rsidRPr="00007910" w:rsidR="00376D40">
        <w:rPr>
          <w:rFonts w:ascii="Arial" w:hAnsi="Arial" w:cs="Arial"/>
          <w:sz w:val="24"/>
          <w:szCs w:val="24"/>
        </w:rPr>
        <w:t xml:space="preserve"> and how it aligns with Connecticut’s policy and PURA’s regulatory objectives</w:t>
      </w:r>
      <w:r w:rsidRPr="00007910" w:rsidR="003E66F8">
        <w:rPr>
          <w:rFonts w:ascii="Arial" w:hAnsi="Arial" w:cs="Arial"/>
          <w:sz w:val="24"/>
          <w:szCs w:val="24"/>
        </w:rPr>
        <w:t>.</w:t>
      </w:r>
    </w:p>
    <w:p w:rsidR="000C1974" w:rsidP="00A75E2F" w:rsidRDefault="00436C70" w14:paraId="3A9201E4" w14:textId="70896AED">
      <w:pPr>
        <w:jc w:val="both"/>
        <w:rPr>
          <w:rStyle w:val="fontstyle01"/>
          <w:rFonts w:ascii="Arial" w:hAnsi="Arial" w:cs="Arial"/>
        </w:rPr>
      </w:pPr>
      <w:r w:rsidRPr="00007910">
        <w:rPr>
          <w:rStyle w:val="fontstyle01"/>
          <w:rFonts w:ascii="Arial" w:hAnsi="Arial" w:cs="Arial"/>
        </w:rPr>
        <w:t xml:space="preserve">PURA would then conduct a </w:t>
      </w:r>
      <w:r w:rsidRPr="00007910" w:rsidR="00376D40">
        <w:rPr>
          <w:rStyle w:val="fontstyle01"/>
          <w:rFonts w:ascii="Arial" w:hAnsi="Arial" w:cs="Arial"/>
        </w:rPr>
        <w:t xml:space="preserve">review </w:t>
      </w:r>
      <w:r w:rsidRPr="00007910">
        <w:rPr>
          <w:rStyle w:val="fontstyle01"/>
          <w:rFonts w:ascii="Arial" w:hAnsi="Arial" w:cs="Arial"/>
        </w:rPr>
        <w:t>process regarding feasibility, costs, alternatives, reliability</w:t>
      </w:r>
      <w:r w:rsidRPr="00007910" w:rsidR="009D2764">
        <w:rPr>
          <w:rStyle w:val="fontstyle01"/>
          <w:rFonts w:ascii="Arial" w:hAnsi="Arial" w:cs="Arial"/>
        </w:rPr>
        <w:t>,</w:t>
      </w:r>
      <w:r w:rsidRPr="00007910">
        <w:rPr>
          <w:rStyle w:val="fontstyle01"/>
          <w:rFonts w:ascii="Arial" w:hAnsi="Arial" w:cs="Arial"/>
        </w:rPr>
        <w:t xml:space="preserve"> and resilience benefits of the proposed solution(s) and </w:t>
      </w:r>
      <w:r w:rsidRPr="00007910" w:rsidR="00DE5C2A">
        <w:rPr>
          <w:rStyle w:val="fontstyle01"/>
          <w:rFonts w:ascii="Arial" w:hAnsi="Arial" w:cs="Arial"/>
        </w:rPr>
        <w:t xml:space="preserve">the </w:t>
      </w:r>
      <w:r w:rsidRPr="00007910">
        <w:rPr>
          <w:rStyle w:val="fontstyle01"/>
          <w:rFonts w:ascii="Arial" w:hAnsi="Arial" w:cs="Arial"/>
        </w:rPr>
        <w:t>compar</w:t>
      </w:r>
      <w:r w:rsidRPr="00007910" w:rsidR="00DE5C2A">
        <w:rPr>
          <w:rStyle w:val="fontstyle01"/>
          <w:rFonts w:ascii="Arial" w:hAnsi="Arial" w:cs="Arial"/>
        </w:rPr>
        <w:t>ison of</w:t>
      </w:r>
      <w:r w:rsidRPr="00007910">
        <w:rPr>
          <w:rStyle w:val="fontstyle01"/>
          <w:rFonts w:ascii="Arial" w:hAnsi="Arial" w:cs="Arial"/>
        </w:rPr>
        <w:t xml:space="preserve"> the alternatives</w:t>
      </w:r>
      <w:r w:rsidRPr="00007910" w:rsidR="009D2764">
        <w:rPr>
          <w:rStyle w:val="fontstyle01"/>
          <w:rFonts w:ascii="Arial" w:hAnsi="Arial" w:cs="Arial"/>
        </w:rPr>
        <w:t xml:space="preserve"> through a docketed proceeding</w:t>
      </w:r>
      <w:r w:rsidRPr="00007910">
        <w:rPr>
          <w:rStyle w:val="fontstyle01"/>
          <w:rFonts w:ascii="Arial" w:hAnsi="Arial" w:cs="Arial"/>
        </w:rPr>
        <w:t xml:space="preserve">. </w:t>
      </w:r>
      <w:r w:rsidRPr="00007910" w:rsidR="00E90FB1">
        <w:rPr>
          <w:rStyle w:val="fontstyle01"/>
          <w:rFonts w:ascii="Arial" w:hAnsi="Arial" w:cs="Arial"/>
        </w:rPr>
        <w:t>PURA would either adopt the NWA</w:t>
      </w:r>
      <w:r w:rsidRPr="00007910" w:rsidR="00DE5C2A">
        <w:rPr>
          <w:rStyle w:val="fontstyle01"/>
          <w:rFonts w:ascii="Arial" w:hAnsi="Arial" w:cs="Arial"/>
        </w:rPr>
        <w:t xml:space="preserve"> </w:t>
      </w:r>
      <w:r w:rsidRPr="00007910" w:rsidR="00DD1B4A">
        <w:rPr>
          <w:rStyle w:val="fontstyle01"/>
          <w:rFonts w:ascii="Arial" w:hAnsi="Arial" w:cs="Arial"/>
        </w:rPr>
        <w:t>recommendation</w:t>
      </w:r>
      <w:r w:rsidRPr="00007910" w:rsidR="00DE5C2A">
        <w:rPr>
          <w:rStyle w:val="fontstyle01"/>
          <w:rFonts w:ascii="Arial" w:hAnsi="Arial" w:cs="Arial"/>
        </w:rPr>
        <w:t xml:space="preserve"> of the Third-Party Administrator</w:t>
      </w:r>
      <w:r w:rsidRPr="00007910" w:rsidR="00E90FB1">
        <w:rPr>
          <w:rStyle w:val="fontstyle01"/>
          <w:rFonts w:ascii="Arial" w:hAnsi="Arial" w:cs="Arial"/>
        </w:rPr>
        <w:t xml:space="preserve"> and order the EDCs to </w:t>
      </w:r>
      <w:proofErr w:type="gramStart"/>
      <w:r w:rsidRPr="00007910" w:rsidR="008B21C1">
        <w:rPr>
          <w:rStyle w:val="fontstyle01"/>
          <w:rFonts w:ascii="Arial" w:hAnsi="Arial" w:cs="Arial"/>
        </w:rPr>
        <w:t>enter</w:t>
      </w:r>
      <w:r w:rsidRPr="00007910" w:rsidR="00E90FB1">
        <w:rPr>
          <w:rStyle w:val="fontstyle01"/>
          <w:rFonts w:ascii="Arial" w:hAnsi="Arial" w:cs="Arial"/>
        </w:rPr>
        <w:t xml:space="preserve"> into</w:t>
      </w:r>
      <w:proofErr w:type="gramEnd"/>
      <w:r w:rsidRPr="00007910" w:rsidR="00E90FB1">
        <w:rPr>
          <w:rStyle w:val="fontstyle01"/>
          <w:rFonts w:ascii="Arial" w:hAnsi="Arial" w:cs="Arial"/>
        </w:rPr>
        <w:t xml:space="preserve"> a contract to implement the NWA, the contract to be approved by PURA, or decline to adopt an NWA.</w:t>
      </w:r>
    </w:p>
    <w:p w:rsidR="000C1974" w:rsidRDefault="000C1974" w14:paraId="62D7FA89" w14:textId="77777777">
      <w:pPr>
        <w:rPr>
          <w:rStyle w:val="fontstyle01"/>
          <w:rFonts w:ascii="Arial" w:hAnsi="Arial" w:cs="Arial"/>
        </w:rPr>
      </w:pPr>
      <w:r>
        <w:rPr>
          <w:rStyle w:val="fontstyle01"/>
          <w:rFonts w:ascii="Arial" w:hAnsi="Arial" w:cs="Arial"/>
        </w:rPr>
        <w:br w:type="page"/>
      </w:r>
    </w:p>
    <w:p w:rsidRPr="00007910" w:rsidR="00F0374A" w:rsidP="00F0374A" w:rsidRDefault="005A6CBC" w14:paraId="21545AD8" w14:textId="7A3314BB">
      <w:pPr>
        <w:pStyle w:val="ListParagraph"/>
        <w:numPr>
          <w:ilvl w:val="1"/>
          <w:numId w:val="4"/>
        </w:numPr>
        <w:rPr>
          <w:rStyle w:val="fontstyle01"/>
          <w:rFonts w:ascii="Arial" w:hAnsi="Arial" w:cs="Arial"/>
          <w:b/>
          <w:bCs/>
        </w:rPr>
      </w:pPr>
      <w:r w:rsidRPr="00007910">
        <w:rPr>
          <w:rStyle w:val="fontstyle01"/>
          <w:rFonts w:ascii="Arial" w:hAnsi="Arial" w:cs="Arial"/>
          <w:b/>
          <w:bCs/>
        </w:rPr>
        <w:lastRenderedPageBreak/>
        <w:t>BCA Framework Element</w:t>
      </w:r>
      <w:r w:rsidRPr="00007910" w:rsidR="00E90FB1">
        <w:rPr>
          <w:rStyle w:val="fontstyle01"/>
          <w:rFonts w:ascii="Arial" w:hAnsi="Arial" w:cs="Arial"/>
          <w:b/>
          <w:bCs/>
        </w:rPr>
        <w:t>s</w:t>
      </w:r>
    </w:p>
    <w:p w:rsidRPr="00007910" w:rsidR="005A6CBC" w:rsidP="00A75E2F" w:rsidRDefault="005A6CBC" w14:paraId="785787A0" w14:textId="36D7C600">
      <w:pPr>
        <w:jc w:val="both"/>
        <w:rPr>
          <w:rStyle w:val="fontstyle01"/>
          <w:rFonts w:ascii="Arial" w:hAnsi="Arial" w:cs="Arial"/>
        </w:rPr>
      </w:pPr>
      <w:r w:rsidRPr="00007910">
        <w:rPr>
          <w:rStyle w:val="fontstyle01"/>
          <w:rFonts w:ascii="Arial" w:hAnsi="Arial" w:cs="Arial"/>
        </w:rPr>
        <w:t xml:space="preserve">In evaluating </w:t>
      </w:r>
      <w:r w:rsidRPr="00007910" w:rsidR="00511F39">
        <w:rPr>
          <w:rStyle w:val="fontstyle01"/>
          <w:rFonts w:ascii="Arial" w:hAnsi="Arial" w:cs="Arial"/>
        </w:rPr>
        <w:t xml:space="preserve">a </w:t>
      </w:r>
      <w:r w:rsidRPr="00007910">
        <w:rPr>
          <w:rStyle w:val="fontstyle01"/>
          <w:rFonts w:ascii="Arial" w:hAnsi="Arial" w:cs="Arial"/>
        </w:rPr>
        <w:t xml:space="preserve">proposal, the </w:t>
      </w:r>
      <w:r w:rsidR="000C1974">
        <w:rPr>
          <w:rStyle w:val="fontstyle01"/>
          <w:rFonts w:ascii="Arial" w:hAnsi="Arial" w:cs="Arial"/>
        </w:rPr>
        <w:t>T</w:t>
      </w:r>
      <w:r w:rsidRPr="00007910">
        <w:rPr>
          <w:rStyle w:val="fontstyle01"/>
          <w:rFonts w:ascii="Arial" w:hAnsi="Arial" w:cs="Arial"/>
        </w:rPr>
        <w:t xml:space="preserve">hird-party Administrator will focus on feasibility, cost </w:t>
      </w:r>
      <w:r w:rsidRPr="00007910" w:rsidR="008B21C1">
        <w:rPr>
          <w:rStyle w:val="fontstyle01"/>
          <w:rFonts w:ascii="Arial" w:hAnsi="Arial" w:cs="Arial"/>
        </w:rPr>
        <w:t>effectiveness</w:t>
      </w:r>
      <w:r w:rsidRPr="00007910">
        <w:rPr>
          <w:rStyle w:val="fontstyle01"/>
          <w:rFonts w:ascii="Arial" w:hAnsi="Arial" w:cs="Arial"/>
        </w:rPr>
        <w:t>, and other benefits including reliability and resilience</w:t>
      </w:r>
      <w:r w:rsidRPr="00007910" w:rsidR="00E90FB1">
        <w:rPr>
          <w:rStyle w:val="fontstyle01"/>
          <w:rFonts w:ascii="Arial" w:hAnsi="Arial" w:cs="Arial"/>
        </w:rPr>
        <w:t>. Costs and</w:t>
      </w:r>
      <w:r w:rsidRPr="00007910">
        <w:rPr>
          <w:rStyle w:val="fontstyle01"/>
          <w:rFonts w:ascii="Arial" w:hAnsi="Arial" w:cs="Arial"/>
        </w:rPr>
        <w:t xml:space="preserve"> benefits </w:t>
      </w:r>
      <w:r w:rsidRPr="00007910" w:rsidR="00E90FB1">
        <w:rPr>
          <w:rStyle w:val="fontstyle01"/>
          <w:rFonts w:ascii="Arial" w:hAnsi="Arial" w:cs="Arial"/>
        </w:rPr>
        <w:t>would be considering</w:t>
      </w:r>
      <w:r w:rsidRPr="00007910">
        <w:rPr>
          <w:rStyle w:val="fontstyle01"/>
          <w:rFonts w:ascii="Arial" w:hAnsi="Arial" w:cs="Arial"/>
        </w:rPr>
        <w:t xml:space="preserve"> following current BCA framework elements as recognized by DEEP, PURA</w:t>
      </w:r>
      <w:r w:rsidRPr="00007910" w:rsidR="00D501D2">
        <w:rPr>
          <w:rStyle w:val="fontstyle01"/>
          <w:rFonts w:ascii="Arial" w:hAnsi="Arial" w:cs="Arial"/>
        </w:rPr>
        <w:t>,</w:t>
      </w:r>
      <w:r w:rsidRPr="00007910">
        <w:rPr>
          <w:rStyle w:val="fontstyle01"/>
          <w:rFonts w:ascii="Arial" w:hAnsi="Arial" w:cs="Arial"/>
        </w:rPr>
        <w:t xml:space="preserve"> and the Connecticut Green Bank.</w:t>
      </w:r>
      <w:r w:rsidRPr="00007910" w:rsidR="008A11D4">
        <w:rPr>
          <w:rStyle w:val="fontstyle01"/>
          <w:rFonts w:ascii="Arial" w:hAnsi="Arial" w:cs="Arial"/>
        </w:rPr>
        <w:t xml:space="preserve"> As noted by </w:t>
      </w:r>
      <w:r w:rsidRPr="00007910" w:rsidR="005A643F">
        <w:rPr>
          <w:rStyle w:val="fontstyle01"/>
          <w:rFonts w:ascii="Arial" w:hAnsi="Arial" w:cs="Arial"/>
        </w:rPr>
        <w:t xml:space="preserve">DEEP in its response to RSR-2, </w:t>
      </w:r>
      <w:r w:rsidRPr="00007910" w:rsidR="004842D3">
        <w:rPr>
          <w:rStyle w:val="fontstyle01"/>
          <w:rFonts w:ascii="Arial" w:hAnsi="Arial" w:cs="Arial"/>
        </w:rPr>
        <w:t xml:space="preserve">the latest description of benefit-cost screening of </w:t>
      </w:r>
      <w:r w:rsidRPr="00007910" w:rsidR="003966F1">
        <w:rPr>
          <w:rStyle w:val="fontstyle01"/>
          <w:rFonts w:ascii="Arial" w:hAnsi="Arial" w:cs="Arial"/>
        </w:rPr>
        <w:t xml:space="preserve">the C&amp;LM plan is contained in Chapter Three of </w:t>
      </w:r>
      <w:r w:rsidR="000C1974">
        <w:rPr>
          <w:rStyle w:val="fontstyle01"/>
          <w:rFonts w:ascii="Arial" w:hAnsi="Arial" w:cs="Arial"/>
        </w:rPr>
        <w:t xml:space="preserve">the </w:t>
      </w:r>
      <w:r w:rsidRPr="00007910" w:rsidR="003966F1">
        <w:rPr>
          <w:rStyle w:val="fontstyle01"/>
          <w:rFonts w:ascii="Arial" w:hAnsi="Arial" w:cs="Arial"/>
        </w:rPr>
        <w:t xml:space="preserve">2021 Plan Update. </w:t>
      </w:r>
      <w:r w:rsidRPr="00007910" w:rsidR="00BF540B">
        <w:rPr>
          <w:rStyle w:val="fontstyle01"/>
          <w:rFonts w:ascii="Arial" w:hAnsi="Arial" w:cs="Arial"/>
        </w:rPr>
        <w:t xml:space="preserve">The benefits </w:t>
      </w:r>
      <w:r w:rsidRPr="00007910" w:rsidR="00AA3088">
        <w:rPr>
          <w:rStyle w:val="fontstyle01"/>
          <w:rFonts w:ascii="Arial" w:hAnsi="Arial" w:cs="Arial"/>
        </w:rPr>
        <w:t xml:space="preserve">included for the </w:t>
      </w:r>
      <w:r w:rsidRPr="00007910" w:rsidR="00210CAB">
        <w:rPr>
          <w:rStyle w:val="fontstyle01"/>
          <w:rFonts w:ascii="Arial" w:hAnsi="Arial" w:cs="Arial"/>
        </w:rPr>
        <w:t xml:space="preserve">primary </w:t>
      </w:r>
      <w:r w:rsidRPr="00007910" w:rsidR="00AA3088">
        <w:rPr>
          <w:rStyle w:val="fontstyle01"/>
          <w:rFonts w:ascii="Arial" w:hAnsi="Arial" w:cs="Arial"/>
        </w:rPr>
        <w:t>utility cost test</w:t>
      </w:r>
      <w:r w:rsidRPr="00007910" w:rsidR="00D41C0D">
        <w:rPr>
          <w:rStyle w:val="fontstyle01"/>
          <w:rFonts w:ascii="Arial" w:hAnsi="Arial" w:cs="Arial"/>
        </w:rPr>
        <w:t xml:space="preserve"> for electricity savings</w:t>
      </w:r>
      <w:r w:rsidRPr="00007910" w:rsidR="00AA3088">
        <w:rPr>
          <w:rStyle w:val="fontstyle01"/>
          <w:rFonts w:ascii="Arial" w:hAnsi="Arial" w:cs="Arial"/>
        </w:rPr>
        <w:t xml:space="preserve"> include:</w:t>
      </w:r>
    </w:p>
    <w:p w:rsidRPr="00007910" w:rsidR="00AA3088" w:rsidP="00AA3088" w:rsidRDefault="00AA3088" w14:paraId="2B0002B5" w14:textId="55B7D7BB">
      <w:pPr>
        <w:pStyle w:val="ListParagraph"/>
        <w:numPr>
          <w:ilvl w:val="0"/>
          <w:numId w:val="27"/>
        </w:numPr>
        <w:rPr>
          <w:rStyle w:val="fontstyle01"/>
          <w:rFonts w:ascii="Arial" w:hAnsi="Arial" w:cs="Arial"/>
        </w:rPr>
      </w:pPr>
      <w:r w:rsidRPr="00007910">
        <w:rPr>
          <w:rStyle w:val="fontstyle01"/>
          <w:rFonts w:ascii="Arial" w:hAnsi="Arial" w:cs="Arial"/>
        </w:rPr>
        <w:t>Electric energy</w:t>
      </w:r>
      <w:r w:rsidRPr="00007910" w:rsidR="00623C5E">
        <w:rPr>
          <w:rStyle w:val="fontstyle01"/>
          <w:rFonts w:ascii="Arial" w:hAnsi="Arial" w:cs="Arial"/>
        </w:rPr>
        <w:t xml:space="preserve"> savings and </w:t>
      </w:r>
      <w:r w:rsidRPr="00007910" w:rsidR="0044076A">
        <w:rPr>
          <w:rStyle w:val="fontstyle01"/>
          <w:rFonts w:ascii="Arial" w:hAnsi="Arial" w:cs="Arial"/>
        </w:rPr>
        <w:t xml:space="preserve">energy </w:t>
      </w:r>
      <w:r w:rsidRPr="00007910" w:rsidR="00623C5E">
        <w:rPr>
          <w:rStyle w:val="fontstyle01"/>
          <w:rFonts w:ascii="Arial" w:hAnsi="Arial" w:cs="Arial"/>
        </w:rPr>
        <w:t>demand-re</w:t>
      </w:r>
      <w:r w:rsidRPr="00007910" w:rsidR="00FA0732">
        <w:rPr>
          <w:rStyle w:val="fontstyle01"/>
          <w:rFonts w:ascii="Arial" w:hAnsi="Arial" w:cs="Arial"/>
        </w:rPr>
        <w:t>duction induced price effects</w:t>
      </w:r>
      <w:r w:rsidRPr="00007910" w:rsidR="00D6749A">
        <w:rPr>
          <w:rStyle w:val="fontstyle01"/>
          <w:rFonts w:ascii="Arial" w:hAnsi="Arial" w:cs="Arial"/>
        </w:rPr>
        <w:t xml:space="preserve"> (DRIPE</w:t>
      </w:r>
      <w:proofErr w:type="gramStart"/>
      <w:r w:rsidRPr="00007910" w:rsidR="00D6749A">
        <w:rPr>
          <w:rStyle w:val="fontstyle01"/>
          <w:rFonts w:ascii="Arial" w:hAnsi="Arial" w:cs="Arial"/>
        </w:rPr>
        <w:t>)</w:t>
      </w:r>
      <w:r w:rsidRPr="00007910" w:rsidR="00FA0732">
        <w:rPr>
          <w:rStyle w:val="fontstyle01"/>
          <w:rFonts w:ascii="Arial" w:hAnsi="Arial" w:cs="Arial"/>
        </w:rPr>
        <w:t>;</w:t>
      </w:r>
      <w:proofErr w:type="gramEnd"/>
    </w:p>
    <w:p w:rsidRPr="00007910" w:rsidR="00AA3088" w:rsidP="00AA3088" w:rsidRDefault="00AA3088" w14:paraId="472FDCE8" w14:textId="768AC139">
      <w:pPr>
        <w:pStyle w:val="ListParagraph"/>
        <w:numPr>
          <w:ilvl w:val="0"/>
          <w:numId w:val="27"/>
        </w:numPr>
        <w:rPr>
          <w:rStyle w:val="fontstyle01"/>
          <w:rFonts w:ascii="Arial" w:hAnsi="Arial" w:cs="Arial"/>
        </w:rPr>
      </w:pPr>
      <w:r w:rsidRPr="00007910">
        <w:rPr>
          <w:rStyle w:val="fontstyle01"/>
          <w:rFonts w:ascii="Arial" w:hAnsi="Arial" w:cs="Arial"/>
        </w:rPr>
        <w:t>Electr</w:t>
      </w:r>
      <w:r w:rsidRPr="00007910" w:rsidR="00623C5E">
        <w:rPr>
          <w:rStyle w:val="fontstyle01"/>
          <w:rFonts w:ascii="Arial" w:hAnsi="Arial" w:cs="Arial"/>
        </w:rPr>
        <w:t>ic wholesale generation capacity</w:t>
      </w:r>
      <w:r w:rsidRPr="00007910" w:rsidR="00FA0732">
        <w:rPr>
          <w:rStyle w:val="fontstyle01"/>
          <w:rFonts w:ascii="Arial" w:hAnsi="Arial" w:cs="Arial"/>
        </w:rPr>
        <w:t xml:space="preserve"> and </w:t>
      </w:r>
      <w:r w:rsidRPr="00007910" w:rsidR="0044076A">
        <w:rPr>
          <w:rStyle w:val="fontstyle01"/>
          <w:rFonts w:ascii="Arial" w:hAnsi="Arial" w:cs="Arial"/>
        </w:rPr>
        <w:t xml:space="preserve">capacity </w:t>
      </w:r>
      <w:proofErr w:type="gramStart"/>
      <w:r w:rsidRPr="00007910" w:rsidR="0044076A">
        <w:rPr>
          <w:rStyle w:val="fontstyle01"/>
          <w:rFonts w:ascii="Arial" w:hAnsi="Arial" w:cs="Arial"/>
        </w:rPr>
        <w:t>DRIPE</w:t>
      </w:r>
      <w:r w:rsidRPr="00007910" w:rsidR="008337F1">
        <w:rPr>
          <w:rStyle w:val="fontstyle01"/>
          <w:rFonts w:ascii="Arial" w:hAnsi="Arial" w:cs="Arial"/>
        </w:rPr>
        <w:t>;</w:t>
      </w:r>
      <w:proofErr w:type="gramEnd"/>
    </w:p>
    <w:p w:rsidRPr="00007910" w:rsidR="00623C5E" w:rsidP="00AA3088" w:rsidRDefault="0044076A" w14:paraId="57635A52" w14:textId="780DB00D">
      <w:pPr>
        <w:pStyle w:val="ListParagraph"/>
        <w:numPr>
          <w:ilvl w:val="0"/>
          <w:numId w:val="27"/>
        </w:numPr>
        <w:rPr>
          <w:rStyle w:val="fontstyle01"/>
          <w:rFonts w:ascii="Arial" w:hAnsi="Arial" w:cs="Arial"/>
        </w:rPr>
      </w:pPr>
      <w:r w:rsidRPr="00007910">
        <w:rPr>
          <w:rStyle w:val="fontstyle01"/>
          <w:rFonts w:ascii="Arial" w:hAnsi="Arial" w:cs="Arial"/>
        </w:rPr>
        <w:t xml:space="preserve">Avoided T&amp;D </w:t>
      </w:r>
      <w:r w:rsidRPr="00007910" w:rsidR="00F30F47">
        <w:rPr>
          <w:rStyle w:val="fontstyle01"/>
          <w:rFonts w:ascii="Arial" w:hAnsi="Arial" w:cs="Arial"/>
        </w:rPr>
        <w:t xml:space="preserve">costs in Connecticut </w:t>
      </w:r>
      <w:r w:rsidRPr="00007910" w:rsidR="008337F1">
        <w:rPr>
          <w:rStyle w:val="fontstyle01"/>
          <w:rFonts w:ascii="Arial" w:hAnsi="Arial" w:cs="Arial"/>
        </w:rPr>
        <w:t xml:space="preserve">based on </w:t>
      </w:r>
      <w:r w:rsidRPr="00007910" w:rsidR="009C67B6">
        <w:rPr>
          <w:rStyle w:val="fontstyle01"/>
          <w:rFonts w:ascii="Arial" w:hAnsi="Arial" w:cs="Arial"/>
        </w:rPr>
        <w:t xml:space="preserve">2017 </w:t>
      </w:r>
      <w:r w:rsidRPr="00007910" w:rsidR="008337F1">
        <w:rPr>
          <w:rStyle w:val="fontstyle01"/>
          <w:rFonts w:ascii="Arial" w:hAnsi="Arial" w:cs="Arial"/>
        </w:rPr>
        <w:t xml:space="preserve">studies from Eversource and </w:t>
      </w:r>
      <w:proofErr w:type="gramStart"/>
      <w:r w:rsidRPr="00007910" w:rsidR="008337F1">
        <w:rPr>
          <w:rStyle w:val="fontstyle01"/>
          <w:rFonts w:ascii="Arial" w:hAnsi="Arial" w:cs="Arial"/>
        </w:rPr>
        <w:t>UI</w:t>
      </w:r>
      <w:r w:rsidRPr="00007910" w:rsidR="00F30F47">
        <w:rPr>
          <w:rStyle w:val="fontstyle01"/>
          <w:rFonts w:ascii="Arial" w:hAnsi="Arial" w:cs="Arial"/>
        </w:rPr>
        <w:t>;</w:t>
      </w:r>
      <w:proofErr w:type="gramEnd"/>
    </w:p>
    <w:p w:rsidRPr="00007910" w:rsidR="00F30F47" w:rsidP="00AA3088" w:rsidRDefault="008337F1" w14:paraId="7E8B28F5" w14:textId="3894972B">
      <w:pPr>
        <w:pStyle w:val="ListParagraph"/>
        <w:numPr>
          <w:ilvl w:val="0"/>
          <w:numId w:val="27"/>
        </w:numPr>
        <w:rPr>
          <w:rStyle w:val="fontstyle01"/>
          <w:rFonts w:ascii="Arial" w:hAnsi="Arial" w:cs="Arial"/>
        </w:rPr>
      </w:pPr>
      <w:r w:rsidRPr="00007910">
        <w:rPr>
          <w:rStyle w:val="fontstyle01"/>
          <w:rFonts w:ascii="Arial" w:hAnsi="Arial" w:cs="Arial"/>
        </w:rPr>
        <w:t>Avoided regional transmission costs from</w:t>
      </w:r>
      <w:r w:rsidRPr="00007910" w:rsidR="00A80FBA">
        <w:rPr>
          <w:rStyle w:val="fontstyle01"/>
          <w:rFonts w:ascii="Arial" w:hAnsi="Arial" w:cs="Arial"/>
        </w:rPr>
        <w:t xml:space="preserve"> the ISO-NE</w:t>
      </w:r>
      <w:r w:rsidRPr="00007910">
        <w:rPr>
          <w:rStyle w:val="fontstyle01"/>
          <w:rFonts w:ascii="Arial" w:hAnsi="Arial" w:cs="Arial"/>
        </w:rPr>
        <w:t xml:space="preserve"> Pooled Transmission Facilities</w:t>
      </w:r>
      <w:r w:rsidRPr="00007910" w:rsidR="00A80FBA">
        <w:rPr>
          <w:rStyle w:val="fontstyle01"/>
          <w:rFonts w:ascii="Arial" w:hAnsi="Arial" w:cs="Arial"/>
        </w:rPr>
        <w:t xml:space="preserve"> tariff</w:t>
      </w:r>
      <w:r w:rsidRPr="00007910">
        <w:rPr>
          <w:rStyle w:val="fontstyle01"/>
          <w:rFonts w:ascii="Arial" w:hAnsi="Arial" w:cs="Arial"/>
        </w:rPr>
        <w:t>;</w:t>
      </w:r>
      <w:r w:rsidRPr="00007910" w:rsidR="00AF7975">
        <w:rPr>
          <w:rStyle w:val="fontstyle01"/>
          <w:rFonts w:ascii="Arial" w:hAnsi="Arial" w:cs="Arial"/>
        </w:rPr>
        <w:t xml:space="preserve"> and</w:t>
      </w:r>
    </w:p>
    <w:p w:rsidRPr="00007910" w:rsidR="008337F1" w:rsidP="00AA3088" w:rsidRDefault="009C67B6" w14:paraId="24FEFDA3" w14:textId="146960A3">
      <w:pPr>
        <w:pStyle w:val="ListParagraph"/>
        <w:numPr>
          <w:ilvl w:val="0"/>
          <w:numId w:val="27"/>
        </w:numPr>
        <w:rPr>
          <w:rStyle w:val="fontstyle01"/>
          <w:rFonts w:ascii="Arial" w:hAnsi="Arial" w:cs="Arial"/>
        </w:rPr>
      </w:pPr>
      <w:r w:rsidRPr="00007910">
        <w:rPr>
          <w:rStyle w:val="fontstyle01"/>
          <w:rFonts w:ascii="Arial" w:hAnsi="Arial" w:cs="Arial"/>
        </w:rPr>
        <w:t>A</w:t>
      </w:r>
      <w:r w:rsidRPr="00007910" w:rsidR="00391DD3">
        <w:rPr>
          <w:rStyle w:val="fontstyle01"/>
          <w:rFonts w:ascii="Arial" w:hAnsi="Arial" w:cs="Arial"/>
        </w:rPr>
        <w:t xml:space="preserve"> </w:t>
      </w:r>
      <w:r w:rsidRPr="00007910" w:rsidR="00B37D64">
        <w:rPr>
          <w:rStyle w:val="fontstyle01"/>
          <w:rFonts w:ascii="Arial" w:hAnsi="Arial" w:cs="Arial"/>
        </w:rPr>
        <w:t>monetized benefit estimate</w:t>
      </w:r>
      <w:r w:rsidRPr="00007910">
        <w:rPr>
          <w:rStyle w:val="fontstyle01"/>
          <w:rFonts w:ascii="Arial" w:hAnsi="Arial" w:cs="Arial"/>
        </w:rPr>
        <w:t xml:space="preserve"> for reliability</w:t>
      </w:r>
      <w:r w:rsidRPr="00007910" w:rsidR="00DC275C">
        <w:rPr>
          <w:rStyle w:val="fontstyle01"/>
          <w:rFonts w:ascii="Arial" w:hAnsi="Arial" w:cs="Arial"/>
        </w:rPr>
        <w:t>.</w:t>
      </w:r>
    </w:p>
    <w:p w:rsidRPr="00A75E2F" w:rsidR="00A73F1D" w:rsidP="00A75E2F" w:rsidRDefault="0021745B" w14:paraId="5A832E92" w14:textId="2DE7BE2F">
      <w:pPr>
        <w:jc w:val="both"/>
        <w:rPr>
          <w:rStyle w:val="fontstyle01"/>
          <w:rFonts w:ascii="Arial" w:hAnsi="Arial" w:cs="Arial"/>
        </w:rPr>
      </w:pPr>
      <w:r w:rsidRPr="00007910">
        <w:rPr>
          <w:rStyle w:val="fontstyle01"/>
          <w:rFonts w:ascii="Arial" w:hAnsi="Arial" w:cs="Arial"/>
        </w:rPr>
        <w:t xml:space="preserve">In addition, the total resource cost test includes additional benefits for </w:t>
      </w:r>
      <w:r w:rsidRPr="00A75E2F">
        <w:rPr>
          <w:rStyle w:val="fontstyle01"/>
          <w:rFonts w:ascii="Arial" w:hAnsi="Arial" w:cs="Arial"/>
        </w:rPr>
        <w:t>n</w:t>
      </w:r>
      <w:r w:rsidRPr="00A75E2F" w:rsidR="004E737D">
        <w:rPr>
          <w:rStyle w:val="fontstyle01"/>
          <w:rFonts w:ascii="Arial" w:hAnsi="Arial" w:cs="Arial"/>
        </w:rPr>
        <w:t>on-electric fuel savings</w:t>
      </w:r>
      <w:r w:rsidRPr="00A75E2F" w:rsidR="00210CAB">
        <w:rPr>
          <w:rStyle w:val="fontstyle01"/>
          <w:rFonts w:ascii="Arial" w:hAnsi="Arial" w:cs="Arial"/>
        </w:rPr>
        <w:t xml:space="preserve">, </w:t>
      </w:r>
      <w:r w:rsidRPr="00A75E2F" w:rsidR="00485DF6">
        <w:rPr>
          <w:rStyle w:val="fontstyle01"/>
          <w:rFonts w:ascii="Arial" w:hAnsi="Arial" w:cs="Arial"/>
        </w:rPr>
        <w:t>avoided water costs</w:t>
      </w:r>
      <w:r w:rsidRPr="00A75E2F" w:rsidR="00210CAB">
        <w:rPr>
          <w:rStyle w:val="fontstyle01"/>
          <w:rFonts w:ascii="Arial" w:hAnsi="Arial" w:cs="Arial"/>
        </w:rPr>
        <w:t>, and emissions benefits.</w:t>
      </w:r>
      <w:r w:rsidRPr="00A75E2F" w:rsidR="006517B1">
        <w:rPr>
          <w:rStyle w:val="fontstyle01"/>
          <w:rFonts w:ascii="Arial" w:hAnsi="Arial" w:cs="Arial"/>
        </w:rPr>
        <w:t xml:space="preserve"> The below</w:t>
      </w:r>
      <w:r w:rsidRPr="00A75E2F" w:rsidR="003D3A3E">
        <w:rPr>
          <w:rStyle w:val="fontstyle01"/>
          <w:rFonts w:ascii="Arial" w:hAnsi="Arial" w:cs="Arial"/>
        </w:rPr>
        <w:t xml:space="preserve"> chart from the </w:t>
      </w:r>
      <w:r w:rsidRPr="00A75E2F" w:rsidR="006D7453">
        <w:rPr>
          <w:rStyle w:val="fontstyle01"/>
          <w:rFonts w:ascii="Arial" w:hAnsi="Arial" w:cs="Arial"/>
        </w:rPr>
        <w:t>2021 Plan Update to the 2019-2021 Conservation &amp; Load Management Plan</w:t>
      </w:r>
      <w:r w:rsidRPr="00A75E2F" w:rsidR="006D7453">
        <w:rPr>
          <w:rStyle w:val="FootnoteReference"/>
          <w:rFonts w:cs="Arial"/>
          <w:color w:val="000000"/>
          <w:szCs w:val="24"/>
        </w:rPr>
        <w:footnoteReference w:id="12"/>
      </w:r>
      <w:r w:rsidRPr="00A75E2F" w:rsidR="003D3A3E">
        <w:rPr>
          <w:rStyle w:val="fontstyle01"/>
          <w:rFonts w:ascii="Arial" w:hAnsi="Arial" w:cs="Arial"/>
        </w:rPr>
        <w:t xml:space="preserve"> shows how the valuation of different elements occurs. </w:t>
      </w:r>
    </w:p>
    <w:p w:rsidRPr="00007910" w:rsidR="000575C8" w:rsidP="005A6CBC" w:rsidRDefault="57180D25" w14:paraId="7A5658A1" w14:textId="4B39A104">
      <w:pPr>
        <w:ind w:firstLine="720"/>
        <w:rPr>
          <w:rStyle w:val="fontstyle01"/>
          <w:rFonts w:ascii="Arial" w:hAnsi="Arial" w:cs="Arial"/>
        </w:rPr>
      </w:pPr>
      <w:r w:rsidRPr="00007910">
        <w:rPr>
          <w:rFonts w:ascii="Arial" w:hAnsi="Arial" w:cs="Arial"/>
          <w:noProof/>
        </w:rPr>
        <w:lastRenderedPageBreak/>
        <w:drawing>
          <wp:inline distT="0" distB="0" distL="0" distR="0" wp14:anchorId="0E1FF25E" wp14:editId="2DD68CCA">
            <wp:extent cx="5190630" cy="60001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14">
                      <a:extLst>
                        <a:ext uri="{28A0092B-C50C-407E-A947-70E740481C1C}">
                          <a14:useLocalDpi xmlns:a14="http://schemas.microsoft.com/office/drawing/2010/main" val="0"/>
                        </a:ext>
                      </a:extLst>
                    </a:blip>
                    <a:srcRect t="2718"/>
                    <a:stretch/>
                  </pic:blipFill>
                  <pic:spPr bwMode="auto">
                    <a:xfrm>
                      <a:off x="0" y="0"/>
                      <a:ext cx="5198875" cy="6009646"/>
                    </a:xfrm>
                    <a:prstGeom prst="rect">
                      <a:avLst/>
                    </a:prstGeom>
                    <a:ln>
                      <a:noFill/>
                    </a:ln>
                    <a:extLst>
                      <a:ext uri="{53640926-AAD7-44D8-BBD7-CCE9431645EC}">
                        <a14:shadowObscured xmlns:a14="http://schemas.microsoft.com/office/drawing/2010/main"/>
                      </a:ext>
                    </a:extLst>
                  </pic:spPr>
                </pic:pic>
              </a:graphicData>
            </a:graphic>
          </wp:inline>
        </w:drawing>
      </w:r>
    </w:p>
    <w:p w:rsidRPr="00007910" w:rsidR="005D051B" w:rsidP="00A75E2F" w:rsidRDefault="00705205" w14:paraId="4CDE39CE" w14:textId="36D489E6">
      <w:pPr>
        <w:rPr>
          <w:rStyle w:val="fontstyle01"/>
          <w:rFonts w:ascii="Arial" w:hAnsi="Arial" w:cs="Arial"/>
        </w:rPr>
      </w:pPr>
      <w:r w:rsidRPr="00007910">
        <w:rPr>
          <w:rStyle w:val="fontstyle01"/>
          <w:rFonts w:ascii="Arial" w:hAnsi="Arial" w:cs="Arial"/>
        </w:rPr>
        <w:t xml:space="preserve">Of course, in the case of avoided distribution costs for a </w:t>
      </w:r>
      <w:r w:rsidRPr="00007910" w:rsidR="007415B6">
        <w:rPr>
          <w:rStyle w:val="fontstyle01"/>
          <w:rFonts w:ascii="Arial" w:hAnsi="Arial" w:cs="Arial"/>
        </w:rPr>
        <w:t>non-wires alternative, costs</w:t>
      </w:r>
      <w:r w:rsidRPr="00007910" w:rsidR="004B1813">
        <w:rPr>
          <w:rStyle w:val="fontstyle01"/>
          <w:rFonts w:ascii="Arial" w:hAnsi="Arial" w:cs="Arial"/>
        </w:rPr>
        <w:t xml:space="preserve"> that are specific </w:t>
      </w:r>
      <w:r w:rsidRPr="00007910" w:rsidR="0066268A">
        <w:rPr>
          <w:rStyle w:val="fontstyle01"/>
          <w:rFonts w:ascii="Arial" w:hAnsi="Arial" w:cs="Arial"/>
        </w:rPr>
        <w:t xml:space="preserve">to the relevant </w:t>
      </w:r>
      <w:r w:rsidRPr="00007910" w:rsidR="0011369D">
        <w:rPr>
          <w:rStyle w:val="fontstyle01"/>
          <w:rFonts w:ascii="Arial" w:hAnsi="Arial" w:cs="Arial"/>
        </w:rPr>
        <w:t xml:space="preserve">distribution project </w:t>
      </w:r>
      <w:r w:rsidRPr="00007910" w:rsidR="007415B6">
        <w:rPr>
          <w:rStyle w:val="fontstyle01"/>
          <w:rFonts w:ascii="Arial" w:hAnsi="Arial" w:cs="Arial"/>
        </w:rPr>
        <w:t>must be substituted for generic system-wide</w:t>
      </w:r>
      <w:r w:rsidRPr="00007910" w:rsidR="00151FBE">
        <w:rPr>
          <w:rStyle w:val="fontstyle01"/>
          <w:rFonts w:ascii="Arial" w:hAnsi="Arial" w:cs="Arial"/>
        </w:rPr>
        <w:t xml:space="preserve"> distribution avoided</w:t>
      </w:r>
      <w:r w:rsidRPr="00007910" w:rsidR="00BC4D05">
        <w:rPr>
          <w:rStyle w:val="fontstyle01"/>
          <w:rFonts w:ascii="Arial" w:hAnsi="Arial" w:cs="Arial"/>
        </w:rPr>
        <w:t xml:space="preserve"> cost</w:t>
      </w:r>
      <w:r w:rsidRPr="00007910" w:rsidR="0021462D">
        <w:rPr>
          <w:rStyle w:val="fontstyle01"/>
          <w:rFonts w:ascii="Arial" w:hAnsi="Arial" w:cs="Arial"/>
        </w:rPr>
        <w:t>s</w:t>
      </w:r>
      <w:r w:rsidRPr="00007910" w:rsidR="007415B6">
        <w:rPr>
          <w:rStyle w:val="fontstyle01"/>
          <w:rFonts w:ascii="Arial" w:hAnsi="Arial" w:cs="Arial"/>
        </w:rPr>
        <w:t xml:space="preserve">. </w:t>
      </w:r>
    </w:p>
    <w:p w:rsidRPr="00007910" w:rsidR="00FD3F8F" w:rsidP="00A75E2F" w:rsidRDefault="00B4232D" w14:paraId="1412802D" w14:textId="12C2A90A">
      <w:pPr>
        <w:jc w:val="both"/>
        <w:rPr>
          <w:rStyle w:val="fontstyle01"/>
          <w:rFonts w:ascii="Arial" w:hAnsi="Arial" w:cs="Arial"/>
        </w:rPr>
      </w:pPr>
      <w:r w:rsidRPr="00007910">
        <w:rPr>
          <w:rStyle w:val="fontstyle01"/>
          <w:rFonts w:ascii="Arial" w:hAnsi="Arial" w:cs="Arial"/>
        </w:rPr>
        <w:t>In the context of the C&amp;</w:t>
      </w:r>
      <w:r w:rsidR="000C1974">
        <w:rPr>
          <w:rStyle w:val="fontstyle01"/>
          <w:rFonts w:ascii="Arial" w:hAnsi="Arial" w:cs="Arial"/>
        </w:rPr>
        <w:t>L</w:t>
      </w:r>
      <w:r w:rsidRPr="00007910">
        <w:rPr>
          <w:rStyle w:val="fontstyle01"/>
          <w:rFonts w:ascii="Arial" w:hAnsi="Arial" w:cs="Arial"/>
        </w:rPr>
        <w:t xml:space="preserve">M plan, the utility cost test has historically been the primary cost test. </w:t>
      </w:r>
      <w:r w:rsidRPr="00007910" w:rsidR="53A4730B">
        <w:rPr>
          <w:rStyle w:val="fontstyle01"/>
          <w:rFonts w:ascii="Arial" w:hAnsi="Arial" w:cs="Arial"/>
        </w:rPr>
        <w:t>The Authority observe</w:t>
      </w:r>
      <w:r w:rsidRPr="00007910" w:rsidR="003C7A57">
        <w:rPr>
          <w:rStyle w:val="fontstyle01"/>
          <w:rFonts w:ascii="Arial" w:hAnsi="Arial" w:cs="Arial"/>
        </w:rPr>
        <w:t>s</w:t>
      </w:r>
      <w:r w:rsidRPr="00007910" w:rsidR="53A4730B">
        <w:rPr>
          <w:rStyle w:val="fontstyle01"/>
          <w:rFonts w:ascii="Arial" w:hAnsi="Arial" w:cs="Arial"/>
        </w:rPr>
        <w:t xml:space="preserve"> that</w:t>
      </w:r>
      <w:r w:rsidRPr="00007910">
        <w:rPr>
          <w:rStyle w:val="fontstyle01"/>
          <w:rFonts w:ascii="Arial" w:hAnsi="Arial" w:cs="Arial"/>
        </w:rPr>
        <w:t xml:space="preserve"> DEEP has </w:t>
      </w:r>
      <w:r w:rsidRPr="00007910" w:rsidR="6DC777BD">
        <w:rPr>
          <w:rStyle w:val="fontstyle01"/>
          <w:rFonts w:ascii="Arial" w:hAnsi="Arial" w:cs="Arial"/>
        </w:rPr>
        <w:t>recently specified</w:t>
      </w:r>
      <w:r w:rsidRPr="00007910" w:rsidR="00940E8E">
        <w:rPr>
          <w:rStyle w:val="fontstyle01"/>
          <w:rFonts w:ascii="Arial" w:hAnsi="Arial" w:cs="Arial"/>
        </w:rPr>
        <w:t xml:space="preserve"> inclusion of </w:t>
      </w:r>
      <w:r w:rsidRPr="00007910" w:rsidR="0019597B">
        <w:rPr>
          <w:rStyle w:val="fontstyle01"/>
          <w:rFonts w:ascii="Arial" w:hAnsi="Arial" w:cs="Arial"/>
        </w:rPr>
        <w:t>non-energy benefits for the income-eligible program</w:t>
      </w:r>
      <w:r w:rsidRPr="00007910" w:rsidR="009F54D3">
        <w:rPr>
          <w:rStyle w:val="fontstyle01"/>
          <w:rFonts w:ascii="Arial" w:hAnsi="Arial" w:cs="Arial"/>
        </w:rPr>
        <w:t xml:space="preserve"> due to a statutory change</w:t>
      </w:r>
      <w:r w:rsidRPr="00007910" w:rsidR="0019597B">
        <w:rPr>
          <w:rStyle w:val="fontstyle01"/>
          <w:rFonts w:ascii="Arial" w:hAnsi="Arial" w:cs="Arial"/>
        </w:rPr>
        <w:t xml:space="preserve"> </w:t>
      </w:r>
      <w:r w:rsidRPr="00007910" w:rsidR="009F54D3">
        <w:rPr>
          <w:rStyle w:val="fontstyle01"/>
          <w:rFonts w:ascii="Arial" w:hAnsi="Arial" w:cs="Arial"/>
        </w:rPr>
        <w:t>as well as</w:t>
      </w:r>
      <w:r w:rsidRPr="00007910" w:rsidR="0019597B">
        <w:rPr>
          <w:rStyle w:val="fontstyle01"/>
          <w:rFonts w:ascii="Arial" w:hAnsi="Arial" w:cs="Arial"/>
        </w:rPr>
        <w:t xml:space="preserve"> </w:t>
      </w:r>
      <w:r w:rsidRPr="00007910" w:rsidR="00643224">
        <w:rPr>
          <w:rStyle w:val="fontstyle01"/>
          <w:rFonts w:ascii="Arial" w:hAnsi="Arial" w:cs="Arial"/>
        </w:rPr>
        <w:t>all energy savings</w:t>
      </w:r>
      <w:r w:rsidRPr="00007910" w:rsidR="00312926">
        <w:rPr>
          <w:rStyle w:val="fontstyle01"/>
          <w:rFonts w:ascii="Arial" w:hAnsi="Arial" w:cs="Arial"/>
        </w:rPr>
        <w:t>.</w:t>
      </w:r>
      <w:r w:rsidRPr="00007910" w:rsidR="00BD0080">
        <w:rPr>
          <w:rStyle w:val="FootnoteReference"/>
          <w:rFonts w:cs="Arial"/>
          <w:color w:val="000000"/>
          <w:szCs w:val="24"/>
        </w:rPr>
        <w:footnoteReference w:id="13"/>
      </w:r>
      <w:r w:rsidRPr="00007910" w:rsidR="00312926">
        <w:rPr>
          <w:rStyle w:val="fontstyle01"/>
          <w:rFonts w:ascii="Arial" w:hAnsi="Arial" w:cs="Arial"/>
        </w:rPr>
        <w:t xml:space="preserve"> In light of the</w:t>
      </w:r>
      <w:r w:rsidRPr="00007910" w:rsidR="00AE3D96">
        <w:rPr>
          <w:rStyle w:val="fontstyle01"/>
          <w:rFonts w:ascii="Arial" w:hAnsi="Arial" w:cs="Arial"/>
        </w:rPr>
        <w:t xml:space="preserve">se changes as well as the importance of </w:t>
      </w:r>
      <w:r w:rsidRPr="00007910" w:rsidR="748E7CDF">
        <w:rPr>
          <w:rStyle w:val="fontstyle01"/>
          <w:rFonts w:ascii="Arial" w:hAnsi="Arial" w:cs="Arial"/>
        </w:rPr>
        <w:t xml:space="preserve">Connecticut </w:t>
      </w:r>
      <w:r w:rsidRPr="00007910" w:rsidR="00EB221F">
        <w:rPr>
          <w:rStyle w:val="fontstyle01"/>
          <w:rFonts w:ascii="Arial" w:hAnsi="Arial" w:cs="Arial"/>
        </w:rPr>
        <w:t xml:space="preserve">policies to reduce harmful </w:t>
      </w:r>
      <w:r w:rsidRPr="00007910" w:rsidR="7DF83145">
        <w:rPr>
          <w:rStyle w:val="fontstyle01"/>
          <w:rFonts w:ascii="Arial" w:hAnsi="Arial" w:cs="Arial"/>
        </w:rPr>
        <w:t>criteria air</w:t>
      </w:r>
      <w:r w:rsidRPr="00007910" w:rsidR="00EB221F">
        <w:rPr>
          <w:rStyle w:val="fontstyle01"/>
          <w:rFonts w:ascii="Arial" w:hAnsi="Arial" w:cs="Arial"/>
        </w:rPr>
        <w:t xml:space="preserve"> and climate pollution, </w:t>
      </w:r>
      <w:r w:rsidRPr="00007910" w:rsidR="002D1DBF">
        <w:rPr>
          <w:rStyle w:val="fontstyle01"/>
          <w:rFonts w:ascii="Arial" w:hAnsi="Arial" w:cs="Arial"/>
        </w:rPr>
        <w:t xml:space="preserve">use of </w:t>
      </w:r>
      <w:r w:rsidRPr="00007910" w:rsidR="00EB221F">
        <w:rPr>
          <w:rStyle w:val="fontstyle01"/>
          <w:rFonts w:ascii="Arial" w:hAnsi="Arial" w:cs="Arial"/>
        </w:rPr>
        <w:t xml:space="preserve">the more expansive </w:t>
      </w:r>
      <w:r w:rsidRPr="00007910" w:rsidR="000B3342">
        <w:rPr>
          <w:rStyle w:val="fontstyle01"/>
          <w:rFonts w:ascii="Arial" w:hAnsi="Arial" w:cs="Arial"/>
        </w:rPr>
        <w:t xml:space="preserve">total resource </w:t>
      </w:r>
      <w:r w:rsidRPr="00007910" w:rsidR="000B3342">
        <w:rPr>
          <w:rStyle w:val="fontstyle01"/>
          <w:rFonts w:ascii="Arial" w:hAnsi="Arial" w:cs="Arial"/>
        </w:rPr>
        <w:lastRenderedPageBreak/>
        <w:t>cost test</w:t>
      </w:r>
      <w:r w:rsidRPr="00007910" w:rsidR="002D1DBF">
        <w:rPr>
          <w:rStyle w:val="fontstyle01"/>
          <w:rFonts w:ascii="Arial" w:hAnsi="Arial" w:cs="Arial"/>
        </w:rPr>
        <w:t xml:space="preserve">, along with the </w:t>
      </w:r>
      <w:r w:rsidRPr="00007910" w:rsidR="004800B2">
        <w:rPr>
          <w:rStyle w:val="fontstyle01"/>
          <w:rFonts w:ascii="Arial" w:hAnsi="Arial" w:cs="Arial"/>
        </w:rPr>
        <w:t>utility cost test,</w:t>
      </w:r>
      <w:r w:rsidRPr="00007910" w:rsidR="000B3342">
        <w:rPr>
          <w:rStyle w:val="fontstyle01"/>
          <w:rFonts w:ascii="Arial" w:hAnsi="Arial" w:cs="Arial"/>
        </w:rPr>
        <w:t xml:space="preserve"> is </w:t>
      </w:r>
      <w:r w:rsidRPr="00007910" w:rsidR="4797F4D2">
        <w:rPr>
          <w:rStyle w:val="fontstyle01"/>
          <w:rFonts w:ascii="Arial" w:hAnsi="Arial" w:cs="Arial"/>
        </w:rPr>
        <w:t>appropriate for NWAs</w:t>
      </w:r>
      <w:r w:rsidRPr="00007910" w:rsidR="000B3342">
        <w:rPr>
          <w:rStyle w:val="fontstyle01"/>
          <w:rFonts w:ascii="Arial" w:hAnsi="Arial" w:cs="Arial"/>
        </w:rPr>
        <w:t>.</w:t>
      </w:r>
      <w:r w:rsidRPr="00007910" w:rsidR="004B5B90">
        <w:rPr>
          <w:rStyle w:val="FootnoteReference"/>
          <w:rFonts w:cs="Arial"/>
          <w:color w:val="000000"/>
          <w:szCs w:val="24"/>
        </w:rPr>
        <w:footnoteReference w:id="14"/>
      </w:r>
      <w:r w:rsidRPr="00007910" w:rsidR="004764AD">
        <w:rPr>
          <w:rStyle w:val="fontstyle01"/>
          <w:rFonts w:ascii="Arial" w:hAnsi="Arial" w:cs="Arial"/>
        </w:rPr>
        <w:t xml:space="preserve"> </w:t>
      </w:r>
      <w:r w:rsidRPr="00007910" w:rsidR="1CB0A8A4">
        <w:rPr>
          <w:rStyle w:val="fontstyle01"/>
          <w:rFonts w:ascii="Arial" w:hAnsi="Arial" w:cs="Arial"/>
        </w:rPr>
        <w:t xml:space="preserve">The </w:t>
      </w:r>
      <w:r w:rsidRPr="00007910" w:rsidR="16404552">
        <w:rPr>
          <w:rStyle w:val="fontstyle01"/>
          <w:rFonts w:ascii="Arial" w:hAnsi="Arial" w:cs="Arial"/>
        </w:rPr>
        <w:t xml:space="preserve">Authority </w:t>
      </w:r>
      <w:r w:rsidRPr="00007910" w:rsidR="457F3BCE">
        <w:rPr>
          <w:rStyle w:val="fontstyle01"/>
          <w:rFonts w:ascii="Arial" w:hAnsi="Arial" w:cs="Arial"/>
        </w:rPr>
        <w:t>direct</w:t>
      </w:r>
      <w:r w:rsidRPr="00007910" w:rsidR="32477DA6">
        <w:rPr>
          <w:rStyle w:val="fontstyle01"/>
          <w:rFonts w:ascii="Arial" w:hAnsi="Arial" w:cs="Arial"/>
        </w:rPr>
        <w:t>s</w:t>
      </w:r>
      <w:r w:rsidRPr="00007910" w:rsidR="457F3BCE">
        <w:rPr>
          <w:rStyle w:val="fontstyle01"/>
          <w:rFonts w:ascii="Arial" w:hAnsi="Arial" w:cs="Arial"/>
        </w:rPr>
        <w:t xml:space="preserve"> the </w:t>
      </w:r>
      <w:r w:rsidR="000C1974">
        <w:rPr>
          <w:rStyle w:val="fontstyle01"/>
          <w:rFonts w:ascii="Arial" w:hAnsi="Arial" w:cs="Arial"/>
        </w:rPr>
        <w:t>T</w:t>
      </w:r>
      <w:r w:rsidRPr="00007910" w:rsidR="457F3BCE">
        <w:rPr>
          <w:rStyle w:val="fontstyle01"/>
          <w:rFonts w:ascii="Arial" w:hAnsi="Arial" w:cs="Arial"/>
        </w:rPr>
        <w:t xml:space="preserve">hird-party Administrator </w:t>
      </w:r>
      <w:r w:rsidRPr="00007910" w:rsidR="0002782D">
        <w:rPr>
          <w:rStyle w:val="fontstyle01"/>
          <w:rFonts w:ascii="Arial" w:hAnsi="Arial" w:cs="Arial"/>
        </w:rPr>
        <w:t xml:space="preserve">to use </w:t>
      </w:r>
      <w:r w:rsidRPr="00007910" w:rsidR="00D93FD2">
        <w:rPr>
          <w:rStyle w:val="fontstyle01"/>
          <w:rFonts w:ascii="Arial" w:hAnsi="Arial" w:cs="Arial"/>
        </w:rPr>
        <w:t xml:space="preserve">this </w:t>
      </w:r>
      <w:r w:rsidRPr="00007910" w:rsidR="00C62ACB">
        <w:rPr>
          <w:rStyle w:val="fontstyle01"/>
          <w:rFonts w:ascii="Arial" w:hAnsi="Arial" w:cs="Arial"/>
        </w:rPr>
        <w:t>framework</w:t>
      </w:r>
      <w:r w:rsidRPr="00007910" w:rsidR="00BF7FB8">
        <w:rPr>
          <w:rStyle w:val="fontstyle01"/>
          <w:rFonts w:ascii="Arial" w:hAnsi="Arial" w:cs="Arial"/>
        </w:rPr>
        <w:t xml:space="preserve">, </w:t>
      </w:r>
      <w:r w:rsidRPr="00007910" w:rsidR="6B71B0DE">
        <w:rPr>
          <w:rStyle w:val="fontstyle01"/>
          <w:rFonts w:ascii="Arial" w:hAnsi="Arial" w:cs="Arial"/>
        </w:rPr>
        <w:t>and specifically</w:t>
      </w:r>
      <w:r w:rsidRPr="00007910" w:rsidR="00BF7FB8">
        <w:rPr>
          <w:rStyle w:val="fontstyle01"/>
          <w:rFonts w:ascii="Arial" w:hAnsi="Arial" w:cs="Arial"/>
        </w:rPr>
        <w:t xml:space="preserve"> </w:t>
      </w:r>
      <w:r w:rsidRPr="00007910" w:rsidR="00AE1C55">
        <w:rPr>
          <w:rStyle w:val="fontstyle01"/>
          <w:rFonts w:ascii="Arial" w:hAnsi="Arial" w:cs="Arial"/>
        </w:rPr>
        <w:t xml:space="preserve">the total resource cost test </w:t>
      </w:r>
      <w:r w:rsidRPr="00007910" w:rsidR="00B85BF0">
        <w:rPr>
          <w:rStyle w:val="fontstyle01"/>
          <w:rFonts w:ascii="Arial" w:hAnsi="Arial" w:cs="Arial"/>
        </w:rPr>
        <w:t xml:space="preserve">and utility cost test </w:t>
      </w:r>
      <w:r w:rsidRPr="00007910" w:rsidR="3E7B28D1">
        <w:rPr>
          <w:rStyle w:val="fontstyle01"/>
          <w:rFonts w:ascii="Arial" w:hAnsi="Arial" w:cs="Arial"/>
        </w:rPr>
        <w:t>approach</w:t>
      </w:r>
      <w:r w:rsidRPr="00007910" w:rsidR="00B85BF0">
        <w:rPr>
          <w:rStyle w:val="fontstyle01"/>
          <w:rFonts w:ascii="Arial" w:hAnsi="Arial" w:cs="Arial"/>
        </w:rPr>
        <w:t>es</w:t>
      </w:r>
      <w:r w:rsidRPr="00007910" w:rsidR="3E7B28D1">
        <w:rPr>
          <w:rStyle w:val="fontstyle01"/>
          <w:rFonts w:ascii="Arial" w:hAnsi="Arial" w:cs="Arial"/>
        </w:rPr>
        <w:t xml:space="preserve"> of</w:t>
      </w:r>
      <w:r w:rsidRPr="00007910" w:rsidR="002B0DE7">
        <w:rPr>
          <w:rStyle w:val="fontstyle01"/>
          <w:rFonts w:ascii="Arial" w:hAnsi="Arial" w:cs="Arial"/>
        </w:rPr>
        <w:t xml:space="preserve"> the 2021 C&amp;</w:t>
      </w:r>
      <w:r w:rsidR="000C1974">
        <w:rPr>
          <w:rStyle w:val="fontstyle01"/>
          <w:rFonts w:ascii="Arial" w:hAnsi="Arial" w:cs="Arial"/>
        </w:rPr>
        <w:t>L</w:t>
      </w:r>
      <w:r w:rsidRPr="00007910" w:rsidR="002B0DE7">
        <w:rPr>
          <w:rStyle w:val="fontstyle01"/>
          <w:rFonts w:ascii="Arial" w:hAnsi="Arial" w:cs="Arial"/>
        </w:rPr>
        <w:t>M update</w:t>
      </w:r>
      <w:r w:rsidRPr="00007910" w:rsidR="00200F75">
        <w:rPr>
          <w:rStyle w:val="fontstyle01"/>
          <w:rFonts w:ascii="Arial" w:hAnsi="Arial" w:cs="Arial"/>
        </w:rPr>
        <w:t xml:space="preserve"> and project-specific distribution avoided costs</w:t>
      </w:r>
      <w:r w:rsidRPr="00007910" w:rsidR="00C62ACB">
        <w:rPr>
          <w:rStyle w:val="fontstyle01"/>
          <w:rFonts w:ascii="Arial" w:hAnsi="Arial" w:cs="Arial"/>
        </w:rPr>
        <w:t xml:space="preserve"> </w:t>
      </w:r>
      <w:r w:rsidRPr="00007910" w:rsidR="457F3BCE">
        <w:rPr>
          <w:rStyle w:val="fontstyle01"/>
          <w:rFonts w:ascii="Arial" w:hAnsi="Arial" w:cs="Arial"/>
        </w:rPr>
        <w:t>in its evaluation of NWA proposals</w:t>
      </w:r>
      <w:r w:rsidRPr="00007910" w:rsidR="002E49A8">
        <w:rPr>
          <w:rStyle w:val="fontstyle01"/>
          <w:rFonts w:ascii="Arial" w:hAnsi="Arial" w:cs="Arial"/>
        </w:rPr>
        <w:t xml:space="preserve">. Given that NWA proposals will be considered on a </w:t>
      </w:r>
      <w:r w:rsidRPr="00007910" w:rsidR="004D60A6">
        <w:rPr>
          <w:rStyle w:val="fontstyle01"/>
          <w:rFonts w:ascii="Arial" w:hAnsi="Arial" w:cs="Arial"/>
        </w:rPr>
        <w:t>case-by-case</w:t>
      </w:r>
      <w:r w:rsidRPr="00007910" w:rsidR="002E49A8">
        <w:rPr>
          <w:rStyle w:val="fontstyle01"/>
          <w:rFonts w:ascii="Arial" w:hAnsi="Arial" w:cs="Arial"/>
        </w:rPr>
        <w:t xml:space="preserve"> basis, </w:t>
      </w:r>
      <w:r w:rsidRPr="00007910" w:rsidR="00AC61BD">
        <w:rPr>
          <w:rStyle w:val="fontstyle01"/>
          <w:rFonts w:ascii="Arial" w:hAnsi="Arial" w:cs="Arial"/>
        </w:rPr>
        <w:t>the application of this</w:t>
      </w:r>
      <w:r w:rsidRPr="00007910" w:rsidR="5FACE85A">
        <w:rPr>
          <w:rStyle w:val="fontstyle01"/>
          <w:rFonts w:ascii="Arial" w:hAnsi="Arial" w:cs="Arial"/>
        </w:rPr>
        <w:t xml:space="preserve"> BCA</w:t>
      </w:r>
      <w:r w:rsidRPr="00007910" w:rsidR="00AC61BD">
        <w:rPr>
          <w:rStyle w:val="fontstyle01"/>
          <w:rFonts w:ascii="Arial" w:hAnsi="Arial" w:cs="Arial"/>
        </w:rPr>
        <w:t xml:space="preserve"> framework and any</w:t>
      </w:r>
      <w:r w:rsidRPr="00007910" w:rsidR="15B2034F">
        <w:rPr>
          <w:rStyle w:val="fontstyle01"/>
          <w:rFonts w:ascii="Arial" w:hAnsi="Arial" w:cs="Arial"/>
        </w:rPr>
        <w:t xml:space="preserve"> recommended modifications to apply the 2021 C&amp;</w:t>
      </w:r>
      <w:r w:rsidR="000C1974">
        <w:rPr>
          <w:rStyle w:val="fontstyle01"/>
          <w:rFonts w:ascii="Arial" w:hAnsi="Arial" w:cs="Arial"/>
        </w:rPr>
        <w:t>L</w:t>
      </w:r>
      <w:r w:rsidRPr="00007910" w:rsidR="15B2034F">
        <w:rPr>
          <w:rStyle w:val="fontstyle01"/>
          <w:rFonts w:ascii="Arial" w:hAnsi="Arial" w:cs="Arial"/>
        </w:rPr>
        <w:t>M BCA ap</w:t>
      </w:r>
      <w:r w:rsidRPr="00007910" w:rsidR="00CC2AA9">
        <w:rPr>
          <w:rStyle w:val="fontstyle01"/>
          <w:rFonts w:ascii="Arial" w:hAnsi="Arial" w:cs="Arial"/>
        </w:rPr>
        <w:t>p</w:t>
      </w:r>
      <w:r w:rsidRPr="00007910" w:rsidR="15B2034F">
        <w:rPr>
          <w:rStyle w:val="fontstyle01"/>
          <w:rFonts w:ascii="Arial" w:hAnsi="Arial" w:cs="Arial"/>
        </w:rPr>
        <w:t>roach to specific NWAs</w:t>
      </w:r>
      <w:r w:rsidRPr="00007910" w:rsidR="00AC61BD">
        <w:rPr>
          <w:rStyle w:val="fontstyle01"/>
          <w:rFonts w:ascii="Arial" w:hAnsi="Arial" w:cs="Arial"/>
        </w:rPr>
        <w:t xml:space="preserve"> can be </w:t>
      </w:r>
      <w:r w:rsidRPr="00007910" w:rsidR="00230634">
        <w:rPr>
          <w:rStyle w:val="fontstyle01"/>
          <w:rFonts w:ascii="Arial" w:hAnsi="Arial" w:cs="Arial"/>
        </w:rPr>
        <w:t xml:space="preserve">examined in each PURA docket evaluating </w:t>
      </w:r>
      <w:r w:rsidR="000C1974">
        <w:rPr>
          <w:rStyle w:val="fontstyle01"/>
          <w:rFonts w:ascii="Arial" w:hAnsi="Arial" w:cs="Arial"/>
        </w:rPr>
        <w:t xml:space="preserve">an </w:t>
      </w:r>
      <w:r w:rsidRPr="00007910" w:rsidR="00230634">
        <w:rPr>
          <w:rStyle w:val="fontstyle01"/>
          <w:rFonts w:ascii="Arial" w:hAnsi="Arial" w:cs="Arial"/>
        </w:rPr>
        <w:t>NWA selection.</w:t>
      </w:r>
      <w:r w:rsidRPr="00007910" w:rsidR="457F3BCE">
        <w:rPr>
          <w:rStyle w:val="fontstyle01"/>
          <w:rFonts w:ascii="Arial" w:hAnsi="Arial" w:cs="Arial"/>
        </w:rPr>
        <w:t xml:space="preserve"> </w:t>
      </w:r>
    </w:p>
    <w:p w:rsidRPr="00007910" w:rsidR="00647E67" w:rsidP="00A75E2F" w:rsidRDefault="00FF619F" w14:paraId="17805C30" w14:textId="0FFB9709">
      <w:pPr>
        <w:jc w:val="both"/>
        <w:rPr>
          <w:rStyle w:val="fontstyle01"/>
          <w:rFonts w:ascii="Arial" w:hAnsi="Arial" w:cs="Arial"/>
        </w:rPr>
      </w:pPr>
      <w:r w:rsidRPr="00007910">
        <w:rPr>
          <w:rStyle w:val="fontstyle01"/>
          <w:rFonts w:ascii="Arial" w:hAnsi="Arial" w:cs="Arial"/>
        </w:rPr>
        <w:t xml:space="preserve">PURA recognizes that several commenters recommended a stakeholder process to establish </w:t>
      </w:r>
      <w:r w:rsidRPr="00007910" w:rsidR="006A7D6F">
        <w:rPr>
          <w:rStyle w:val="fontstyle01"/>
          <w:rFonts w:ascii="Arial" w:hAnsi="Arial" w:cs="Arial"/>
        </w:rPr>
        <w:t xml:space="preserve">a benefit-cost framework specific to non-wires alternatives. </w:t>
      </w:r>
      <w:r w:rsidRPr="00007910" w:rsidR="003C447A">
        <w:rPr>
          <w:rStyle w:val="fontstyle01"/>
          <w:rFonts w:ascii="Arial" w:hAnsi="Arial" w:cs="Arial"/>
        </w:rPr>
        <w:t xml:space="preserve">Such a process </w:t>
      </w:r>
      <w:r w:rsidRPr="00007910" w:rsidR="610EABD0">
        <w:rPr>
          <w:rStyle w:val="fontstyle01"/>
          <w:rFonts w:ascii="Arial" w:hAnsi="Arial" w:cs="Arial"/>
        </w:rPr>
        <w:t>for NWAs is</w:t>
      </w:r>
      <w:r w:rsidRPr="00007910" w:rsidR="003C447A">
        <w:rPr>
          <w:rStyle w:val="fontstyle01"/>
          <w:rFonts w:ascii="Arial" w:hAnsi="Arial" w:cs="Arial"/>
        </w:rPr>
        <w:t xml:space="preserve"> not </w:t>
      </w:r>
      <w:r w:rsidRPr="00007910" w:rsidR="3A0FF17D">
        <w:rPr>
          <w:rStyle w:val="fontstyle01"/>
          <w:rFonts w:ascii="Arial" w:hAnsi="Arial" w:cs="Arial"/>
        </w:rPr>
        <w:t>propo</w:t>
      </w:r>
      <w:r w:rsidRPr="00007910" w:rsidR="003C447A">
        <w:rPr>
          <w:rStyle w:val="fontstyle01"/>
          <w:rFonts w:ascii="Arial" w:hAnsi="Arial" w:cs="Arial"/>
        </w:rPr>
        <w:t>s</w:t>
      </w:r>
      <w:r w:rsidRPr="00007910" w:rsidR="00D06ECA">
        <w:rPr>
          <w:rStyle w:val="fontstyle01"/>
          <w:rFonts w:ascii="Arial" w:hAnsi="Arial" w:cs="Arial"/>
        </w:rPr>
        <w:t>ed here for the following reasons</w:t>
      </w:r>
      <w:r w:rsidRPr="00007910" w:rsidR="003C447A">
        <w:rPr>
          <w:rStyle w:val="fontstyle01"/>
          <w:rFonts w:ascii="Arial" w:hAnsi="Arial" w:cs="Arial"/>
        </w:rPr>
        <w:t xml:space="preserve">. </w:t>
      </w:r>
      <w:r w:rsidRPr="00007910" w:rsidR="008C0613">
        <w:rPr>
          <w:rStyle w:val="fontstyle01"/>
          <w:rFonts w:ascii="Arial" w:hAnsi="Arial" w:cs="Arial"/>
        </w:rPr>
        <w:t>First, w</w:t>
      </w:r>
      <w:r w:rsidRPr="00007910" w:rsidR="005B7F2A">
        <w:rPr>
          <w:rStyle w:val="fontstyle01"/>
          <w:rFonts w:ascii="Arial" w:hAnsi="Arial" w:cs="Arial"/>
        </w:rPr>
        <w:t xml:space="preserve">hile the benefits of non-wires alternatives have a significant locational element that is not present in </w:t>
      </w:r>
      <w:r w:rsidRPr="00007910" w:rsidR="00023342">
        <w:rPr>
          <w:rStyle w:val="fontstyle01"/>
          <w:rFonts w:ascii="Arial" w:hAnsi="Arial" w:cs="Arial"/>
        </w:rPr>
        <w:t xml:space="preserve">some other contexts, the broader </w:t>
      </w:r>
      <w:r w:rsidRPr="00007910" w:rsidR="3BC4F334">
        <w:rPr>
          <w:rStyle w:val="fontstyle01"/>
          <w:rFonts w:ascii="Arial" w:hAnsi="Arial" w:cs="Arial"/>
        </w:rPr>
        <w:t>revisions of Connecticut’s</w:t>
      </w:r>
      <w:r w:rsidRPr="00007910" w:rsidR="00023342">
        <w:rPr>
          <w:rStyle w:val="fontstyle01"/>
          <w:rFonts w:ascii="Arial" w:hAnsi="Arial" w:cs="Arial"/>
        </w:rPr>
        <w:t xml:space="preserve"> benefit-cost test </w:t>
      </w:r>
      <w:r w:rsidRPr="00007910" w:rsidR="5400A546">
        <w:rPr>
          <w:rStyle w:val="fontstyle01"/>
          <w:rFonts w:ascii="Arial" w:hAnsi="Arial" w:cs="Arial"/>
        </w:rPr>
        <w:t>approach for energy project</w:t>
      </w:r>
      <w:r w:rsidRPr="00007910" w:rsidR="00F82686">
        <w:rPr>
          <w:rStyle w:val="fontstyle01"/>
          <w:rFonts w:ascii="Arial" w:hAnsi="Arial" w:cs="Arial"/>
        </w:rPr>
        <w:t>s</w:t>
      </w:r>
      <w:r w:rsidRPr="00007910" w:rsidR="5400A546">
        <w:rPr>
          <w:rStyle w:val="fontstyle01"/>
          <w:rFonts w:ascii="Arial" w:hAnsi="Arial" w:cs="Arial"/>
        </w:rPr>
        <w:t xml:space="preserve"> and program evaluation </w:t>
      </w:r>
      <w:r w:rsidRPr="00007910" w:rsidR="00CC2AA9">
        <w:rPr>
          <w:rStyle w:val="fontstyle01"/>
          <w:rFonts w:ascii="Arial" w:hAnsi="Arial" w:cs="Arial"/>
        </w:rPr>
        <w:t>are</w:t>
      </w:r>
      <w:r w:rsidRPr="00007910" w:rsidR="00023342">
        <w:rPr>
          <w:rStyle w:val="fontstyle01"/>
          <w:rFonts w:ascii="Arial" w:hAnsi="Arial" w:cs="Arial"/>
        </w:rPr>
        <w:t xml:space="preserve"> not unique to this docket and should be consider</w:t>
      </w:r>
      <w:r w:rsidRPr="00007910" w:rsidR="008C0613">
        <w:rPr>
          <w:rStyle w:val="fontstyle01"/>
          <w:rFonts w:ascii="Arial" w:hAnsi="Arial" w:cs="Arial"/>
        </w:rPr>
        <w:t>ed</w:t>
      </w:r>
      <w:r w:rsidRPr="00007910" w:rsidR="00023342">
        <w:rPr>
          <w:rStyle w:val="fontstyle01"/>
          <w:rFonts w:ascii="Arial" w:hAnsi="Arial" w:cs="Arial"/>
        </w:rPr>
        <w:t xml:space="preserve"> across</w:t>
      </w:r>
      <w:r w:rsidRPr="00007910" w:rsidR="008C0613">
        <w:rPr>
          <w:rStyle w:val="fontstyle01"/>
          <w:rFonts w:ascii="Arial" w:hAnsi="Arial" w:cs="Arial"/>
        </w:rPr>
        <w:t xml:space="preserve"> programs. Second, such a stakeholder process would </w:t>
      </w:r>
      <w:r w:rsidRPr="00007910" w:rsidR="390EBD97">
        <w:rPr>
          <w:rStyle w:val="fontstyle01"/>
          <w:rFonts w:ascii="Arial" w:hAnsi="Arial" w:cs="Arial"/>
        </w:rPr>
        <w:t>necessitate</w:t>
      </w:r>
      <w:r w:rsidRPr="00007910" w:rsidR="008C0613">
        <w:rPr>
          <w:rStyle w:val="fontstyle01"/>
          <w:rFonts w:ascii="Arial" w:hAnsi="Arial" w:cs="Arial"/>
        </w:rPr>
        <w:t xml:space="preserve"> significant time and resource</w:t>
      </w:r>
      <w:r w:rsidRPr="00007910" w:rsidR="5E0C2924">
        <w:rPr>
          <w:rStyle w:val="fontstyle01"/>
          <w:rFonts w:ascii="Arial" w:hAnsi="Arial" w:cs="Arial"/>
        </w:rPr>
        <w:t xml:space="preserve"> commitments by state agencies, stakeholders</w:t>
      </w:r>
      <w:r w:rsidRPr="00007910" w:rsidR="00F77324">
        <w:rPr>
          <w:rStyle w:val="fontstyle01"/>
          <w:rFonts w:ascii="Arial" w:hAnsi="Arial" w:cs="Arial"/>
        </w:rPr>
        <w:t>,</w:t>
      </w:r>
      <w:r w:rsidRPr="00007910" w:rsidR="5E0C2924">
        <w:rPr>
          <w:rStyle w:val="fontstyle01"/>
          <w:rFonts w:ascii="Arial" w:hAnsi="Arial" w:cs="Arial"/>
        </w:rPr>
        <w:t xml:space="preserve"> and </w:t>
      </w:r>
      <w:r w:rsidRPr="00007910" w:rsidR="007A6FC7">
        <w:rPr>
          <w:rStyle w:val="fontstyle01"/>
          <w:rFonts w:ascii="Arial" w:hAnsi="Arial" w:cs="Arial"/>
        </w:rPr>
        <w:t>the utilities</w:t>
      </w:r>
      <w:r w:rsidRPr="00007910" w:rsidR="008C0613">
        <w:rPr>
          <w:rStyle w:val="fontstyle01"/>
          <w:rFonts w:ascii="Arial" w:hAnsi="Arial" w:cs="Arial"/>
        </w:rPr>
        <w:t xml:space="preserve"> that is better spent </w:t>
      </w:r>
      <w:r w:rsidRPr="00007910" w:rsidR="0091493F">
        <w:rPr>
          <w:rStyle w:val="fontstyle01"/>
          <w:rFonts w:ascii="Arial" w:hAnsi="Arial" w:cs="Arial"/>
        </w:rPr>
        <w:t>standing up the more general process for this program. Third,</w:t>
      </w:r>
      <w:r w:rsidRPr="00007910" w:rsidR="5D6CABC5">
        <w:rPr>
          <w:rStyle w:val="fontstyle01"/>
          <w:rFonts w:ascii="Arial" w:hAnsi="Arial" w:cs="Arial"/>
        </w:rPr>
        <w:t xml:space="preserve"> DEEP plays a substantial role in Connecticut’s revisions to BCA processes and methodologies</w:t>
      </w:r>
      <w:r w:rsidRPr="00007910" w:rsidR="00491A7F">
        <w:rPr>
          <w:rStyle w:val="fontstyle01"/>
          <w:rFonts w:ascii="Arial" w:hAnsi="Arial" w:cs="Arial"/>
        </w:rPr>
        <w:t>,</w:t>
      </w:r>
      <w:r w:rsidRPr="00007910" w:rsidR="5D6CABC5">
        <w:rPr>
          <w:rStyle w:val="fontstyle01"/>
          <w:rFonts w:ascii="Arial" w:hAnsi="Arial" w:cs="Arial"/>
        </w:rPr>
        <w:t xml:space="preserve"> which the Authority re</w:t>
      </w:r>
      <w:r w:rsidRPr="00007910" w:rsidR="307623B8">
        <w:rPr>
          <w:rStyle w:val="fontstyle01"/>
          <w:rFonts w:ascii="Arial" w:hAnsi="Arial" w:cs="Arial"/>
        </w:rPr>
        <w:t>cognizes.</w:t>
      </w:r>
      <w:r w:rsidRPr="00007910" w:rsidR="0091493F">
        <w:rPr>
          <w:rStyle w:val="fontstyle01"/>
          <w:rFonts w:ascii="Arial" w:hAnsi="Arial" w:cs="Arial"/>
        </w:rPr>
        <w:t xml:space="preserve"> </w:t>
      </w:r>
      <w:r w:rsidRPr="00007910" w:rsidR="0FC89651">
        <w:rPr>
          <w:rStyle w:val="fontstyle01"/>
          <w:rFonts w:ascii="Arial" w:hAnsi="Arial" w:cs="Arial"/>
        </w:rPr>
        <w:t>A</w:t>
      </w:r>
      <w:r w:rsidRPr="00007910" w:rsidR="0091493F">
        <w:rPr>
          <w:rStyle w:val="fontstyle01"/>
          <w:rFonts w:ascii="Arial" w:hAnsi="Arial" w:cs="Arial"/>
        </w:rPr>
        <w:t>s with other elements of th</w:t>
      </w:r>
      <w:r w:rsidRPr="00007910" w:rsidR="00FD7C69">
        <w:rPr>
          <w:rStyle w:val="fontstyle01"/>
          <w:rFonts w:ascii="Arial" w:hAnsi="Arial" w:cs="Arial"/>
        </w:rPr>
        <w:t>e</w:t>
      </w:r>
      <w:r w:rsidRPr="00007910" w:rsidR="0091493F">
        <w:rPr>
          <w:rStyle w:val="fontstyle01"/>
          <w:rFonts w:ascii="Arial" w:hAnsi="Arial" w:cs="Arial"/>
        </w:rPr>
        <w:t xml:space="preserve"> </w:t>
      </w:r>
      <w:r w:rsidRPr="00007910" w:rsidR="00FD7C69">
        <w:rPr>
          <w:rStyle w:val="fontstyle01"/>
          <w:rFonts w:ascii="Arial" w:hAnsi="Arial" w:cs="Arial"/>
        </w:rPr>
        <w:t>S</w:t>
      </w:r>
      <w:r w:rsidRPr="00007910" w:rsidR="0091493F">
        <w:rPr>
          <w:rStyle w:val="fontstyle01"/>
          <w:rFonts w:ascii="Arial" w:hAnsi="Arial" w:cs="Arial"/>
        </w:rPr>
        <w:t xml:space="preserve">traw </w:t>
      </w:r>
      <w:r w:rsidRPr="00007910" w:rsidR="00FD7C69">
        <w:rPr>
          <w:rStyle w:val="fontstyle01"/>
          <w:rFonts w:ascii="Arial" w:hAnsi="Arial" w:cs="Arial"/>
        </w:rPr>
        <w:t>P</w:t>
      </w:r>
      <w:r w:rsidRPr="00007910" w:rsidR="0091493F">
        <w:rPr>
          <w:rStyle w:val="fontstyle01"/>
          <w:rFonts w:ascii="Arial" w:hAnsi="Arial" w:cs="Arial"/>
        </w:rPr>
        <w:t>roposal</w:t>
      </w:r>
      <w:r w:rsidRPr="00007910" w:rsidR="00CE7A72">
        <w:rPr>
          <w:rStyle w:val="fontstyle01"/>
          <w:rFonts w:ascii="Arial" w:hAnsi="Arial" w:cs="Arial"/>
        </w:rPr>
        <w:t xml:space="preserve">, comments on this path forward are welcome. </w:t>
      </w:r>
    </w:p>
    <w:p w:rsidRPr="00007910" w:rsidR="00B577EB" w:rsidP="00A75E2F" w:rsidRDefault="00A608F2" w14:paraId="3BABE600" w14:textId="364EAA39">
      <w:pPr>
        <w:jc w:val="both"/>
        <w:rPr>
          <w:rStyle w:val="fontstyle01"/>
          <w:rFonts w:ascii="Arial" w:hAnsi="Arial" w:cs="Arial"/>
        </w:rPr>
      </w:pPr>
      <w:r w:rsidRPr="00007910">
        <w:rPr>
          <w:rStyle w:val="fontstyle01"/>
          <w:rFonts w:ascii="Arial" w:hAnsi="Arial" w:cs="Arial"/>
        </w:rPr>
        <w:t xml:space="preserve">The Authority anticipates any project or solicitations questions in applying this BCA framework to any specific NWA will be addressed by stakeholders in the NWA process with the Third-Party Administrator </w:t>
      </w:r>
      <w:r w:rsidRPr="00007910" w:rsidR="0000D340">
        <w:rPr>
          <w:rStyle w:val="fontstyle01"/>
          <w:rFonts w:ascii="Arial" w:hAnsi="Arial" w:cs="Arial"/>
        </w:rPr>
        <w:t xml:space="preserve">in any recommendations </w:t>
      </w:r>
      <w:r w:rsidRPr="00007910">
        <w:rPr>
          <w:rStyle w:val="fontstyle01"/>
          <w:rFonts w:ascii="Arial" w:hAnsi="Arial" w:cs="Arial"/>
        </w:rPr>
        <w:t>ultimately subject to PURA review.</w:t>
      </w:r>
      <w:r w:rsidRPr="00007910" w:rsidR="00647E67">
        <w:rPr>
          <w:rStyle w:val="fontstyle01"/>
          <w:rFonts w:ascii="Arial" w:hAnsi="Arial" w:cs="Arial"/>
        </w:rPr>
        <w:t xml:space="preserve"> </w:t>
      </w:r>
      <w:r w:rsidRPr="00007910" w:rsidR="00FD48FF">
        <w:rPr>
          <w:rStyle w:val="fontstyle01"/>
          <w:rFonts w:ascii="Arial" w:hAnsi="Arial" w:cs="Arial"/>
        </w:rPr>
        <w:t>As experience and practice with a Third-Party Administrator framework accumulates, the Authority may find it advisable to adopt a modified BCA framework for NWAs. Alternatively, DEEP may continue to adapt the benefit-cost tests used for the C&amp;LM plans</w:t>
      </w:r>
      <w:r w:rsidRPr="00007910" w:rsidR="00F7092C">
        <w:rPr>
          <w:rStyle w:val="fontstyle01"/>
          <w:rFonts w:ascii="Arial" w:hAnsi="Arial" w:cs="Arial"/>
        </w:rPr>
        <w:t>,</w:t>
      </w:r>
      <w:r w:rsidRPr="00007910" w:rsidR="00FD48FF">
        <w:rPr>
          <w:rStyle w:val="fontstyle01"/>
          <w:rFonts w:ascii="Arial" w:hAnsi="Arial" w:cs="Arial"/>
        </w:rPr>
        <w:t xml:space="preserve"> </w:t>
      </w:r>
      <w:r w:rsidRPr="00007910" w:rsidR="01CA99F4">
        <w:rPr>
          <w:rStyle w:val="fontstyle01"/>
          <w:rFonts w:ascii="Arial" w:hAnsi="Arial" w:cs="Arial"/>
        </w:rPr>
        <w:t>which</w:t>
      </w:r>
      <w:r w:rsidRPr="00007910" w:rsidR="00FD48FF">
        <w:rPr>
          <w:rStyle w:val="fontstyle01"/>
          <w:rFonts w:ascii="Arial" w:hAnsi="Arial" w:cs="Arial"/>
        </w:rPr>
        <w:t xml:space="preserve"> PURA </w:t>
      </w:r>
      <w:r w:rsidRPr="00007910" w:rsidR="1D048BC3">
        <w:rPr>
          <w:rStyle w:val="fontstyle01"/>
          <w:rFonts w:ascii="Arial" w:hAnsi="Arial" w:cs="Arial"/>
        </w:rPr>
        <w:t>may adopt</w:t>
      </w:r>
      <w:r w:rsidRPr="00007910">
        <w:rPr>
          <w:rStyle w:val="fontstyle01"/>
          <w:rFonts w:ascii="Arial" w:hAnsi="Arial" w:cs="Arial"/>
        </w:rPr>
        <w:t xml:space="preserve"> as </w:t>
      </w:r>
      <w:r w:rsidRPr="00007910" w:rsidR="228374AE">
        <w:rPr>
          <w:rStyle w:val="fontstyle01"/>
          <w:rFonts w:ascii="Arial" w:hAnsi="Arial" w:cs="Arial"/>
        </w:rPr>
        <w:t>DEEP’s approach</w:t>
      </w:r>
      <w:r w:rsidRPr="00007910">
        <w:rPr>
          <w:rStyle w:val="fontstyle01"/>
          <w:rFonts w:ascii="Arial" w:hAnsi="Arial" w:cs="Arial"/>
        </w:rPr>
        <w:t xml:space="preserve"> evolve</w:t>
      </w:r>
      <w:r w:rsidRPr="00007910" w:rsidR="7C377FD3">
        <w:rPr>
          <w:rStyle w:val="fontstyle01"/>
          <w:rFonts w:ascii="Arial" w:hAnsi="Arial" w:cs="Arial"/>
        </w:rPr>
        <w:t>s</w:t>
      </w:r>
      <w:r w:rsidRPr="00007910">
        <w:rPr>
          <w:rStyle w:val="fontstyle01"/>
          <w:rFonts w:ascii="Arial" w:hAnsi="Arial" w:cs="Arial"/>
        </w:rPr>
        <w:t xml:space="preserve">. </w:t>
      </w:r>
    </w:p>
    <w:p w:rsidRPr="00007910" w:rsidR="00FD3F8F" w:rsidP="00FD3F8F" w:rsidRDefault="00FD3F8F" w14:paraId="18BD6A3D" w14:textId="56B91EC4">
      <w:pPr>
        <w:pStyle w:val="ListParagraph"/>
        <w:numPr>
          <w:ilvl w:val="1"/>
          <w:numId w:val="4"/>
        </w:numPr>
        <w:rPr>
          <w:rStyle w:val="fontstyle01"/>
          <w:rFonts w:ascii="Arial" w:hAnsi="Arial" w:cs="Arial"/>
          <w:b/>
          <w:bCs/>
        </w:rPr>
      </w:pPr>
      <w:r w:rsidRPr="00007910">
        <w:rPr>
          <w:rStyle w:val="fontstyle01"/>
          <w:rFonts w:ascii="Arial" w:hAnsi="Arial" w:cs="Arial"/>
          <w:b/>
          <w:bCs/>
        </w:rPr>
        <w:t>NWA Resources that Qualify to be Considered</w:t>
      </w:r>
      <w:r w:rsidRPr="00007910" w:rsidR="00962F67">
        <w:rPr>
          <w:rStyle w:val="fontstyle01"/>
          <w:rFonts w:ascii="Arial" w:hAnsi="Arial" w:cs="Arial"/>
          <w:b/>
          <w:bCs/>
        </w:rPr>
        <w:t xml:space="preserve"> and Use Cases</w:t>
      </w:r>
    </w:p>
    <w:p w:rsidRPr="00007910" w:rsidR="00F33255" w:rsidP="00A75E2F" w:rsidRDefault="00FD3F8F" w14:paraId="09CFDCED" w14:textId="2631CE37">
      <w:pPr>
        <w:jc w:val="both"/>
        <w:rPr>
          <w:rStyle w:val="fontstyle01"/>
          <w:rFonts w:ascii="Arial" w:hAnsi="Arial" w:cs="Arial"/>
        </w:rPr>
      </w:pPr>
      <w:r w:rsidRPr="00007910">
        <w:rPr>
          <w:rStyle w:val="fontstyle01"/>
          <w:rFonts w:ascii="Arial" w:hAnsi="Arial" w:cs="Arial"/>
        </w:rPr>
        <w:t>PURA does not place limitation on qualifying technology types</w:t>
      </w:r>
      <w:r w:rsidRPr="00007910" w:rsidR="008C708A">
        <w:rPr>
          <w:rStyle w:val="fontstyle01"/>
          <w:rFonts w:ascii="Arial" w:hAnsi="Arial" w:cs="Arial"/>
        </w:rPr>
        <w:t xml:space="preserve"> for NWA projects. Premature </w:t>
      </w:r>
      <w:r w:rsidRPr="00007910" w:rsidR="008B21C1">
        <w:rPr>
          <w:rStyle w:val="fontstyle01"/>
          <w:rFonts w:ascii="Arial" w:hAnsi="Arial" w:cs="Arial"/>
        </w:rPr>
        <w:t>limitations</w:t>
      </w:r>
      <w:r w:rsidRPr="00007910">
        <w:rPr>
          <w:rStyle w:val="fontstyle01"/>
          <w:rFonts w:ascii="Arial" w:hAnsi="Arial" w:cs="Arial"/>
        </w:rPr>
        <w:t xml:space="preserve"> may inhibit innovation</w:t>
      </w:r>
      <w:r w:rsidRPr="00007910" w:rsidR="00903C52">
        <w:rPr>
          <w:rStyle w:val="fontstyle01"/>
          <w:rFonts w:ascii="Arial" w:hAnsi="Arial" w:cs="Arial"/>
        </w:rPr>
        <w:t xml:space="preserve"> by EDCs or third-party bidders</w:t>
      </w:r>
      <w:r w:rsidRPr="00007910" w:rsidR="008C708A">
        <w:rPr>
          <w:rStyle w:val="fontstyle01"/>
          <w:rFonts w:ascii="Arial" w:hAnsi="Arial" w:cs="Arial"/>
        </w:rPr>
        <w:t xml:space="preserve"> and </w:t>
      </w:r>
      <w:r w:rsidRPr="00007910" w:rsidR="00D4255E">
        <w:rPr>
          <w:rStyle w:val="fontstyle01"/>
          <w:rFonts w:ascii="Arial" w:hAnsi="Arial" w:cs="Arial"/>
        </w:rPr>
        <w:t>developme</w:t>
      </w:r>
      <w:r w:rsidRPr="00007910" w:rsidR="005B23D0">
        <w:rPr>
          <w:rStyle w:val="fontstyle01"/>
          <w:rFonts w:ascii="Arial" w:hAnsi="Arial" w:cs="Arial"/>
        </w:rPr>
        <w:t>n</w:t>
      </w:r>
      <w:r w:rsidRPr="00007910" w:rsidR="00D4255E">
        <w:rPr>
          <w:rStyle w:val="fontstyle01"/>
          <w:rFonts w:ascii="Arial" w:hAnsi="Arial" w:cs="Arial"/>
        </w:rPr>
        <w:t xml:space="preserve">t of new options in </w:t>
      </w:r>
      <w:r w:rsidRPr="00007910" w:rsidR="008C708A">
        <w:rPr>
          <w:rStyle w:val="fontstyle01"/>
          <w:rFonts w:ascii="Arial" w:hAnsi="Arial" w:cs="Arial"/>
        </w:rPr>
        <w:t>the marketplace</w:t>
      </w:r>
      <w:r w:rsidRPr="00007910" w:rsidR="00903C52">
        <w:rPr>
          <w:rStyle w:val="fontstyle01"/>
          <w:rFonts w:ascii="Arial" w:hAnsi="Arial" w:cs="Arial"/>
        </w:rPr>
        <w:t xml:space="preserve">. PURA observes that </w:t>
      </w:r>
      <w:r w:rsidRPr="00007910">
        <w:rPr>
          <w:rStyle w:val="fontstyle01"/>
          <w:rFonts w:ascii="Arial" w:hAnsi="Arial" w:cs="Arial"/>
        </w:rPr>
        <w:t>competition tends to reduce costs</w:t>
      </w:r>
      <w:r w:rsidRPr="00007910" w:rsidR="00903C52">
        <w:rPr>
          <w:rStyle w:val="fontstyle01"/>
          <w:rFonts w:ascii="Arial" w:hAnsi="Arial" w:cs="Arial"/>
        </w:rPr>
        <w:t xml:space="preserve"> </w:t>
      </w:r>
      <w:r w:rsidRPr="00007910" w:rsidR="008C708A">
        <w:rPr>
          <w:rStyle w:val="fontstyle01"/>
          <w:rFonts w:ascii="Arial" w:hAnsi="Arial" w:cs="Arial"/>
        </w:rPr>
        <w:t>and improve service quality</w:t>
      </w:r>
      <w:r w:rsidRPr="00007910" w:rsidR="00F33255">
        <w:rPr>
          <w:rStyle w:val="fontstyle01"/>
          <w:rFonts w:ascii="Arial" w:hAnsi="Arial" w:cs="Arial"/>
        </w:rPr>
        <w:t xml:space="preserve"> leading to technology, service</w:t>
      </w:r>
      <w:r w:rsidRPr="00007910" w:rsidR="00C16FD9">
        <w:rPr>
          <w:rStyle w:val="fontstyle01"/>
          <w:rFonts w:ascii="Arial" w:hAnsi="Arial" w:cs="Arial"/>
        </w:rPr>
        <w:t>,</w:t>
      </w:r>
      <w:r w:rsidRPr="00007910" w:rsidR="00F33255">
        <w:rPr>
          <w:rStyle w:val="fontstyle01"/>
          <w:rFonts w:ascii="Arial" w:hAnsi="Arial" w:cs="Arial"/>
        </w:rPr>
        <w:t xml:space="preserve"> and business case innovation</w:t>
      </w:r>
      <w:r w:rsidRPr="00007910" w:rsidR="008C708A">
        <w:rPr>
          <w:rStyle w:val="fontstyle01"/>
          <w:rFonts w:ascii="Arial" w:hAnsi="Arial" w:cs="Arial"/>
        </w:rPr>
        <w:t>. For that reason, PURA endorses b</w:t>
      </w:r>
      <w:r w:rsidRPr="00007910" w:rsidR="00903C52">
        <w:rPr>
          <w:rStyle w:val="fontstyle01"/>
          <w:rFonts w:ascii="Arial" w:hAnsi="Arial" w:cs="Arial"/>
        </w:rPr>
        <w:t>roader competition to meet ratepayer and customer needs when feasible</w:t>
      </w:r>
      <w:r w:rsidRPr="00007910" w:rsidR="00F33255">
        <w:rPr>
          <w:rStyle w:val="fontstyle01"/>
          <w:rFonts w:ascii="Arial" w:hAnsi="Arial" w:cs="Arial"/>
        </w:rPr>
        <w:t xml:space="preserve"> to provide reliable service</w:t>
      </w:r>
      <w:r w:rsidRPr="00007910" w:rsidR="00903C52">
        <w:rPr>
          <w:rStyle w:val="fontstyle01"/>
          <w:rFonts w:ascii="Arial" w:hAnsi="Arial" w:cs="Arial"/>
        </w:rPr>
        <w:t>.</w:t>
      </w:r>
    </w:p>
    <w:p w:rsidRPr="00007910" w:rsidR="00903C52" w:rsidP="00A75E2F" w:rsidRDefault="00F33255" w14:paraId="79BFC075" w14:textId="4DCA42D7">
      <w:pPr>
        <w:jc w:val="both"/>
        <w:rPr>
          <w:rStyle w:val="fontstyle01"/>
          <w:rFonts w:ascii="Arial" w:hAnsi="Arial" w:cs="Arial"/>
        </w:rPr>
      </w:pPr>
      <w:r w:rsidRPr="00007910">
        <w:rPr>
          <w:rStyle w:val="fontstyle01"/>
          <w:rFonts w:ascii="Arial" w:hAnsi="Arial" w:cs="Arial"/>
        </w:rPr>
        <w:t>Innovative proposals may find new technology, service</w:t>
      </w:r>
      <w:r w:rsidRPr="00007910" w:rsidR="006401BC">
        <w:rPr>
          <w:rStyle w:val="fontstyle01"/>
          <w:rFonts w:ascii="Arial" w:hAnsi="Arial" w:cs="Arial"/>
        </w:rPr>
        <w:t>,</w:t>
      </w:r>
      <w:r w:rsidRPr="00007910">
        <w:rPr>
          <w:rStyle w:val="fontstyle01"/>
          <w:rFonts w:ascii="Arial" w:hAnsi="Arial" w:cs="Arial"/>
        </w:rPr>
        <w:t xml:space="preserve"> </w:t>
      </w:r>
      <w:proofErr w:type="gramStart"/>
      <w:r w:rsidRPr="00007910">
        <w:rPr>
          <w:rStyle w:val="fontstyle01"/>
          <w:rFonts w:ascii="Arial" w:hAnsi="Arial" w:cs="Arial"/>
        </w:rPr>
        <w:t>firmware</w:t>
      </w:r>
      <w:proofErr w:type="gramEnd"/>
      <w:r w:rsidRPr="00007910">
        <w:rPr>
          <w:rStyle w:val="fontstyle01"/>
          <w:rFonts w:ascii="Arial" w:hAnsi="Arial" w:cs="Arial"/>
        </w:rPr>
        <w:t xml:space="preserve"> and software that can provide reliability and resilience benefits that are comparable. Innovative proposals may involve customer benefits and resilience offerings that traditional distribution solutions do </w:t>
      </w:r>
      <w:r w:rsidRPr="00007910">
        <w:rPr>
          <w:rStyle w:val="fontstyle01"/>
          <w:rFonts w:ascii="Arial" w:hAnsi="Arial" w:cs="Arial"/>
        </w:rPr>
        <w:lastRenderedPageBreak/>
        <w:t>not. The Authority thus clearly states that it expect</w:t>
      </w:r>
      <w:r w:rsidRPr="00007910" w:rsidR="006401BC">
        <w:rPr>
          <w:rStyle w:val="fontstyle01"/>
          <w:rFonts w:ascii="Arial" w:hAnsi="Arial" w:cs="Arial"/>
        </w:rPr>
        <w:t>s</w:t>
      </w:r>
      <w:r w:rsidRPr="00007910">
        <w:rPr>
          <w:rStyle w:val="fontstyle01"/>
          <w:rFonts w:ascii="Arial" w:hAnsi="Arial" w:cs="Arial"/>
        </w:rPr>
        <w:t xml:space="preserve"> </w:t>
      </w:r>
      <w:r w:rsidR="00A039A7">
        <w:rPr>
          <w:rStyle w:val="fontstyle01"/>
          <w:rFonts w:ascii="Arial" w:hAnsi="Arial" w:cs="Arial"/>
        </w:rPr>
        <w:t>how it</w:t>
      </w:r>
      <w:r w:rsidRPr="00007910">
        <w:rPr>
          <w:rStyle w:val="fontstyle01"/>
          <w:rFonts w:ascii="Arial" w:hAnsi="Arial" w:cs="Arial"/>
        </w:rPr>
        <w:t xml:space="preserve"> evaluate</w:t>
      </w:r>
      <w:r w:rsidR="00A039A7">
        <w:rPr>
          <w:rStyle w:val="fontstyle01"/>
          <w:rFonts w:ascii="Arial" w:hAnsi="Arial" w:cs="Arial"/>
        </w:rPr>
        <w:t>s</w:t>
      </w:r>
      <w:r w:rsidRPr="00007910">
        <w:rPr>
          <w:rStyle w:val="fontstyle01"/>
          <w:rFonts w:ascii="Arial" w:hAnsi="Arial" w:cs="Arial"/>
        </w:rPr>
        <w:t xml:space="preserve"> innovative proposals to include evaluation of traditional modes of evaluating reliability and resilience as may occur </w:t>
      </w:r>
      <w:proofErr w:type="gramStart"/>
      <w:r w:rsidRPr="00007910">
        <w:rPr>
          <w:rStyle w:val="fontstyle01"/>
          <w:rFonts w:ascii="Arial" w:hAnsi="Arial" w:cs="Arial"/>
        </w:rPr>
        <w:t>in particular proposals</w:t>
      </w:r>
      <w:proofErr w:type="gramEnd"/>
      <w:r w:rsidRPr="00007910">
        <w:rPr>
          <w:rStyle w:val="fontstyle01"/>
          <w:rFonts w:ascii="Arial" w:hAnsi="Arial" w:cs="Arial"/>
        </w:rPr>
        <w:t xml:space="preserve">. The Authority expects that the Third-Party Administrator will </w:t>
      </w:r>
      <w:r w:rsidRPr="00007910" w:rsidR="00180ABD">
        <w:rPr>
          <w:rStyle w:val="fontstyle01"/>
          <w:rFonts w:ascii="Arial" w:hAnsi="Arial" w:cs="Arial"/>
        </w:rPr>
        <w:t>build in reliability considerations, consider reliability criteria specified to consider NWAs and address those issues in any recommendations to the Authority.</w:t>
      </w:r>
    </w:p>
    <w:p w:rsidRPr="00007910" w:rsidR="00903C52" w:rsidP="00A75E2F" w:rsidRDefault="00903C52" w14:paraId="1FB26F80" w14:textId="4A337D95">
      <w:pPr>
        <w:jc w:val="both"/>
        <w:rPr>
          <w:rStyle w:val="fontstyle01"/>
          <w:rFonts w:ascii="Arial" w:hAnsi="Arial" w:cs="Arial"/>
        </w:rPr>
      </w:pPr>
      <w:r w:rsidRPr="00007910">
        <w:rPr>
          <w:rStyle w:val="fontstyle01"/>
          <w:rFonts w:ascii="Arial" w:hAnsi="Arial" w:cs="Arial"/>
        </w:rPr>
        <w:t>NWA technologies that can satisfy the inter-related reliability, redundancy</w:t>
      </w:r>
      <w:r w:rsidRPr="00007910" w:rsidR="001857A3">
        <w:rPr>
          <w:rStyle w:val="fontstyle01"/>
          <w:rFonts w:ascii="Arial" w:hAnsi="Arial" w:cs="Arial"/>
        </w:rPr>
        <w:t>,</w:t>
      </w:r>
      <w:r w:rsidRPr="00007910">
        <w:rPr>
          <w:rStyle w:val="fontstyle01"/>
          <w:rFonts w:ascii="Arial" w:hAnsi="Arial" w:cs="Arial"/>
        </w:rPr>
        <w:t xml:space="preserve"> and reserve needs of various grid elements (as set forth by the Third</w:t>
      </w:r>
      <w:r w:rsidRPr="00007910" w:rsidR="008C708A">
        <w:rPr>
          <w:rStyle w:val="fontstyle01"/>
          <w:rFonts w:ascii="Arial" w:hAnsi="Arial" w:cs="Arial"/>
        </w:rPr>
        <w:t>-</w:t>
      </w:r>
      <w:r w:rsidRPr="00007910">
        <w:rPr>
          <w:rStyle w:val="fontstyle01"/>
          <w:rFonts w:ascii="Arial" w:hAnsi="Arial" w:cs="Arial"/>
        </w:rPr>
        <w:t xml:space="preserve">Party Administrator in consultation with the EDCs and other stakeholders and determined by PURA) </w:t>
      </w:r>
      <w:r w:rsidRPr="00007910" w:rsidR="008C708A">
        <w:rPr>
          <w:rStyle w:val="fontstyle01"/>
          <w:rFonts w:ascii="Arial" w:hAnsi="Arial" w:cs="Arial"/>
        </w:rPr>
        <w:t>may</w:t>
      </w:r>
      <w:r w:rsidRPr="00007910">
        <w:rPr>
          <w:rStyle w:val="fontstyle01"/>
          <w:rFonts w:ascii="Arial" w:hAnsi="Arial" w:cs="Arial"/>
        </w:rPr>
        <w:t xml:space="preserve"> be considered for NWAs. The list of qualifying technologies categories and types for NWA projects includes but are not limited to:</w:t>
      </w:r>
    </w:p>
    <w:p w:rsidRPr="00007910" w:rsidR="00903C52" w:rsidP="00903C52" w:rsidRDefault="00903C52" w14:paraId="368B8B97" w14:textId="453702CC">
      <w:pPr>
        <w:pStyle w:val="Heading2"/>
        <w:rPr>
          <w:rStyle w:val="fontstyle01"/>
          <w:rFonts w:ascii="Arial" w:hAnsi="Arial" w:cs="Arial"/>
        </w:rPr>
      </w:pPr>
      <w:r w:rsidRPr="00007910">
        <w:rPr>
          <w:rStyle w:val="fontstyle01"/>
          <w:rFonts w:ascii="Arial" w:hAnsi="Arial" w:cs="Arial"/>
        </w:rPr>
        <w:t>Passive DERs including energy efficiency to reduce load.</w:t>
      </w:r>
    </w:p>
    <w:p w:rsidRPr="00007910" w:rsidR="00903C52" w:rsidP="00A75E2F" w:rsidRDefault="00903C52" w14:paraId="60980698" w14:textId="77777777">
      <w:pPr>
        <w:pStyle w:val="Heading2"/>
        <w:ind w:left="1440" w:hanging="720"/>
        <w:rPr>
          <w:rStyle w:val="fontstyle01"/>
          <w:rFonts w:ascii="Arial" w:hAnsi="Arial" w:cs="Arial"/>
        </w:rPr>
      </w:pPr>
      <w:r w:rsidRPr="00007910">
        <w:rPr>
          <w:rStyle w:val="fontstyle01"/>
          <w:rFonts w:ascii="Arial" w:hAnsi="Arial" w:cs="Arial"/>
        </w:rPr>
        <w:t>Active DERs such as electric batteries to provide load serving, voltage regulation, frequency regulation or other grid functions.</w:t>
      </w:r>
    </w:p>
    <w:p w:rsidRPr="00007910" w:rsidR="00393E7C" w:rsidP="00393E7C" w:rsidRDefault="00903C52" w14:paraId="4AB9C035" w14:textId="66400257">
      <w:pPr>
        <w:pStyle w:val="Heading2"/>
        <w:rPr>
          <w:rStyle w:val="fontstyle01"/>
          <w:rFonts w:ascii="Arial" w:hAnsi="Arial" w:cs="Arial"/>
        </w:rPr>
      </w:pPr>
      <w:r w:rsidRPr="00007910">
        <w:rPr>
          <w:rStyle w:val="fontstyle01"/>
          <w:rFonts w:ascii="Arial" w:hAnsi="Arial" w:cs="Arial"/>
        </w:rPr>
        <w:t>Demand response.</w:t>
      </w:r>
    </w:p>
    <w:p w:rsidRPr="00007910" w:rsidR="00393E7C" w:rsidP="00393E7C" w:rsidRDefault="00607415" w14:paraId="3664C7FA" w14:textId="5D7A6ED8">
      <w:pPr>
        <w:pStyle w:val="Heading2"/>
        <w:rPr>
          <w:rFonts w:ascii="Arial" w:hAnsi="Arial" w:cs="Arial"/>
          <w:color w:val="000000"/>
          <w:sz w:val="24"/>
          <w:szCs w:val="24"/>
        </w:rPr>
      </w:pPr>
      <w:r w:rsidRPr="00007910">
        <w:rPr>
          <w:rStyle w:val="fontstyle01"/>
          <w:rFonts w:ascii="Arial" w:hAnsi="Arial" w:cs="Arial"/>
        </w:rPr>
        <w:t>Connecticut Class I and Class III resources</w:t>
      </w:r>
      <w:r w:rsidRPr="00007910" w:rsidR="00393E7C">
        <w:rPr>
          <w:rStyle w:val="fontstyle01"/>
          <w:rFonts w:ascii="Arial" w:hAnsi="Arial" w:cs="Arial"/>
        </w:rPr>
        <w:t>.</w:t>
      </w:r>
    </w:p>
    <w:p w:rsidRPr="00007910" w:rsidR="00903C52" w:rsidP="00393E7C" w:rsidRDefault="00903C52" w14:paraId="62DBB7DA" w14:textId="33F7F689">
      <w:pPr>
        <w:pStyle w:val="Heading2"/>
        <w:rPr>
          <w:rStyle w:val="fontstyle01"/>
          <w:rFonts w:ascii="Arial" w:hAnsi="Arial" w:cs="Arial"/>
        </w:rPr>
      </w:pPr>
      <w:r w:rsidRPr="00007910">
        <w:rPr>
          <w:rStyle w:val="fontstyle01"/>
          <w:rFonts w:ascii="Arial" w:hAnsi="Arial" w:cs="Arial"/>
        </w:rPr>
        <w:t>Behind the Meter (BTW) technologies whether aggregated or not</w:t>
      </w:r>
      <w:r w:rsidRPr="00007910" w:rsidR="00393E7C">
        <w:rPr>
          <w:rStyle w:val="fontstyle01"/>
          <w:rFonts w:ascii="Arial" w:hAnsi="Arial" w:cs="Arial"/>
        </w:rPr>
        <w:t>,</w:t>
      </w:r>
      <w:r w:rsidRPr="00007910">
        <w:rPr>
          <w:rStyle w:val="fontstyle01"/>
          <w:rFonts w:ascii="Arial" w:hAnsi="Arial" w:cs="Arial"/>
        </w:rPr>
        <w:t xml:space="preserve"> and</w:t>
      </w:r>
    </w:p>
    <w:p w:rsidRPr="00A75E2F" w:rsidR="00A7617D" w:rsidP="00A7617D" w:rsidRDefault="00903C52" w14:paraId="0577C1A0" w14:textId="25AD1C3F">
      <w:pPr>
        <w:pStyle w:val="Heading2"/>
        <w:rPr>
          <w:rStyle w:val="fontstyle01"/>
          <w:rFonts w:ascii="Arial" w:hAnsi="Arial" w:cs="Arial"/>
          <w:sz w:val="16"/>
          <w:szCs w:val="16"/>
        </w:rPr>
      </w:pPr>
      <w:r w:rsidRPr="00007910">
        <w:rPr>
          <w:rStyle w:val="fontstyle01"/>
          <w:rFonts w:ascii="Arial" w:hAnsi="Arial" w:cs="Arial"/>
        </w:rPr>
        <w:t xml:space="preserve">Front of the Meter (FTM) </w:t>
      </w:r>
      <w:r w:rsidRPr="00007910" w:rsidR="008B21C1">
        <w:rPr>
          <w:rStyle w:val="fontstyle01"/>
          <w:rFonts w:ascii="Arial" w:hAnsi="Arial" w:cs="Arial"/>
        </w:rPr>
        <w:t>technologies</w:t>
      </w:r>
      <w:r w:rsidRPr="00007910">
        <w:rPr>
          <w:rStyle w:val="fontstyle01"/>
          <w:rFonts w:ascii="Arial" w:hAnsi="Arial" w:cs="Arial"/>
        </w:rPr>
        <w:t xml:space="preserve"> whether aggregated or not.</w:t>
      </w:r>
    </w:p>
    <w:p w:rsidRPr="00A75E2F" w:rsidR="00F621D1" w:rsidP="00A75E2F" w:rsidRDefault="00F621D1" w14:paraId="3D87783F" w14:textId="77777777">
      <w:pPr>
        <w:spacing w:after="0"/>
        <w:rPr>
          <w:rFonts w:ascii="Arial" w:hAnsi="Arial" w:cs="Arial"/>
          <w:sz w:val="16"/>
          <w:szCs w:val="16"/>
        </w:rPr>
      </w:pPr>
    </w:p>
    <w:p w:rsidRPr="00007910" w:rsidR="00A7617D" w:rsidP="00A75E2F" w:rsidRDefault="00A7617D" w14:paraId="45282259" w14:textId="55446FF2">
      <w:pPr>
        <w:jc w:val="both"/>
        <w:rPr>
          <w:rFonts w:ascii="Arial" w:hAnsi="Arial" w:cs="Arial"/>
          <w:sz w:val="24"/>
          <w:szCs w:val="24"/>
        </w:rPr>
      </w:pPr>
      <w:r w:rsidRPr="00007910">
        <w:rPr>
          <w:rFonts w:ascii="Arial" w:hAnsi="Arial" w:cs="Arial"/>
          <w:sz w:val="24"/>
          <w:szCs w:val="24"/>
        </w:rPr>
        <w:t xml:space="preserve">The focal point of any inquiry for any NWA resource </w:t>
      </w:r>
      <w:r w:rsidRPr="00007910" w:rsidR="008B21C1">
        <w:rPr>
          <w:rFonts w:ascii="Arial" w:hAnsi="Arial" w:cs="Arial"/>
          <w:sz w:val="24"/>
          <w:szCs w:val="24"/>
        </w:rPr>
        <w:t>portfolio</w:t>
      </w:r>
      <w:r w:rsidRPr="00007910">
        <w:rPr>
          <w:rFonts w:ascii="Arial" w:hAnsi="Arial" w:cs="Arial"/>
          <w:sz w:val="24"/>
          <w:szCs w:val="24"/>
        </w:rPr>
        <w:t xml:space="preserve"> – a portfolio may be preferred to a single resource – is whether it meets the identified system needs</w:t>
      </w:r>
      <w:r w:rsidRPr="00007910" w:rsidR="008C708A">
        <w:rPr>
          <w:rFonts w:ascii="Arial" w:hAnsi="Arial" w:cs="Arial"/>
          <w:sz w:val="24"/>
          <w:szCs w:val="24"/>
        </w:rPr>
        <w:t xml:space="preserve"> and what additional benefits it might offer customers or the public</w:t>
      </w:r>
      <w:r w:rsidRPr="00007910">
        <w:rPr>
          <w:rFonts w:ascii="Arial" w:hAnsi="Arial" w:cs="Arial"/>
          <w:sz w:val="24"/>
          <w:szCs w:val="24"/>
        </w:rPr>
        <w:t xml:space="preserve">.  </w:t>
      </w:r>
    </w:p>
    <w:p w:rsidRPr="00007910" w:rsidR="00A7617D" w:rsidP="00A75E2F" w:rsidRDefault="00A7617D" w14:paraId="1A060ECC" w14:textId="06ECA44B">
      <w:pPr>
        <w:jc w:val="both"/>
        <w:rPr>
          <w:rStyle w:val="fontstyle01"/>
          <w:rFonts w:ascii="Arial" w:hAnsi="Arial" w:cs="Arial"/>
        </w:rPr>
      </w:pPr>
      <w:r w:rsidRPr="00007910">
        <w:rPr>
          <w:rFonts w:ascii="Arial" w:hAnsi="Arial" w:cs="Arial"/>
          <w:sz w:val="24"/>
          <w:szCs w:val="24"/>
        </w:rPr>
        <w:t xml:space="preserve">In meeting needs, a margin for performance </w:t>
      </w:r>
      <w:r w:rsidRPr="00007910" w:rsidR="008C708A">
        <w:rPr>
          <w:rFonts w:ascii="Arial" w:hAnsi="Arial" w:cs="Arial"/>
          <w:sz w:val="24"/>
          <w:szCs w:val="24"/>
        </w:rPr>
        <w:t xml:space="preserve">for </w:t>
      </w:r>
      <w:proofErr w:type="gramStart"/>
      <w:r w:rsidRPr="00007910" w:rsidR="008C708A">
        <w:rPr>
          <w:rFonts w:ascii="Arial" w:hAnsi="Arial" w:cs="Arial"/>
          <w:sz w:val="24"/>
          <w:szCs w:val="24"/>
        </w:rPr>
        <w:t>particular</w:t>
      </w:r>
      <w:r w:rsidRPr="00007910">
        <w:rPr>
          <w:rFonts w:ascii="Arial" w:hAnsi="Arial" w:cs="Arial"/>
          <w:sz w:val="24"/>
          <w:szCs w:val="24"/>
        </w:rPr>
        <w:t xml:space="preserve"> resources</w:t>
      </w:r>
      <w:proofErr w:type="gramEnd"/>
      <w:r w:rsidRPr="00007910">
        <w:rPr>
          <w:rFonts w:ascii="Arial" w:hAnsi="Arial" w:cs="Arial"/>
          <w:sz w:val="24"/>
          <w:szCs w:val="24"/>
        </w:rPr>
        <w:t xml:space="preserve"> may be advisable to build into any NWA</w:t>
      </w:r>
      <w:r w:rsidRPr="00007910" w:rsidR="008C708A">
        <w:rPr>
          <w:rFonts w:ascii="Arial" w:hAnsi="Arial" w:cs="Arial"/>
          <w:sz w:val="24"/>
          <w:szCs w:val="24"/>
        </w:rPr>
        <w:t xml:space="preserve"> a conservative engineering factor</w:t>
      </w:r>
      <w:r w:rsidRPr="00007910">
        <w:rPr>
          <w:rFonts w:ascii="Arial" w:hAnsi="Arial" w:cs="Arial"/>
          <w:sz w:val="24"/>
          <w:szCs w:val="24"/>
        </w:rPr>
        <w:t xml:space="preserve"> just as </w:t>
      </w:r>
      <w:r w:rsidRPr="00007910" w:rsidR="008C708A">
        <w:rPr>
          <w:rFonts w:ascii="Arial" w:hAnsi="Arial" w:cs="Arial"/>
          <w:sz w:val="24"/>
          <w:szCs w:val="24"/>
        </w:rPr>
        <w:t>such factors are</w:t>
      </w:r>
      <w:r w:rsidRPr="00007910">
        <w:rPr>
          <w:rFonts w:ascii="Arial" w:hAnsi="Arial" w:cs="Arial"/>
          <w:sz w:val="24"/>
          <w:szCs w:val="24"/>
        </w:rPr>
        <w:t xml:space="preserve"> built into the current grid. Depending on the </w:t>
      </w:r>
      <w:r w:rsidRPr="00007910">
        <w:rPr>
          <w:rStyle w:val="fontstyle01"/>
          <w:rFonts w:ascii="Arial" w:hAnsi="Arial" w:cs="Arial"/>
        </w:rPr>
        <w:t>reliability need, redundancy of resource</w:t>
      </w:r>
      <w:r w:rsidRPr="00007910" w:rsidR="008C708A">
        <w:rPr>
          <w:rStyle w:val="fontstyle01"/>
          <w:rFonts w:ascii="Arial" w:hAnsi="Arial" w:cs="Arial"/>
        </w:rPr>
        <w:t xml:space="preserve"> or</w:t>
      </w:r>
      <w:r w:rsidRPr="00007910">
        <w:rPr>
          <w:rStyle w:val="fontstyle01"/>
          <w:rFonts w:ascii="Arial" w:hAnsi="Arial" w:cs="Arial"/>
        </w:rPr>
        <w:t xml:space="preserve"> combinations of resources with different performance and </w:t>
      </w:r>
      <w:r w:rsidRPr="00007910" w:rsidR="008B21C1">
        <w:rPr>
          <w:rStyle w:val="fontstyle01"/>
          <w:rFonts w:ascii="Arial" w:hAnsi="Arial" w:cs="Arial"/>
        </w:rPr>
        <w:t>operational</w:t>
      </w:r>
      <w:r w:rsidRPr="00007910">
        <w:rPr>
          <w:rStyle w:val="fontstyle01"/>
          <w:rFonts w:ascii="Arial" w:hAnsi="Arial" w:cs="Arial"/>
        </w:rPr>
        <w:t xml:space="preserve"> characteristics</w:t>
      </w:r>
      <w:r w:rsidRPr="00007910" w:rsidR="008C708A">
        <w:rPr>
          <w:rStyle w:val="fontstyle01"/>
          <w:rFonts w:ascii="Arial" w:hAnsi="Arial" w:cs="Arial"/>
        </w:rPr>
        <w:t>,</w:t>
      </w:r>
      <w:r w:rsidRPr="00007910">
        <w:rPr>
          <w:rStyle w:val="fontstyle01"/>
          <w:rFonts w:ascii="Arial" w:hAnsi="Arial" w:cs="Arial"/>
        </w:rPr>
        <w:t xml:space="preserve"> built-in reserves margins</w:t>
      </w:r>
      <w:r w:rsidRPr="00007910" w:rsidR="008C708A">
        <w:rPr>
          <w:rStyle w:val="fontstyle01"/>
          <w:rFonts w:ascii="Arial" w:hAnsi="Arial" w:cs="Arial"/>
        </w:rPr>
        <w:t>, and other design features</w:t>
      </w:r>
      <w:r w:rsidRPr="00007910">
        <w:rPr>
          <w:rStyle w:val="fontstyle01"/>
          <w:rFonts w:ascii="Arial" w:hAnsi="Arial" w:cs="Arial"/>
        </w:rPr>
        <w:t xml:space="preserve"> may be advisable to provide the desired or superior grid performance as well as grid resilience and customer resilience value.</w:t>
      </w:r>
      <w:r w:rsidRPr="00007910" w:rsidR="008C708A">
        <w:rPr>
          <w:rStyle w:val="fontstyle01"/>
          <w:rFonts w:ascii="Arial" w:hAnsi="Arial" w:cs="Arial"/>
        </w:rPr>
        <w:t xml:space="preserve">  The New York Brooklyn-Queens project did exactly this in procuring DERs in anticipat</w:t>
      </w:r>
      <w:r w:rsidRPr="00007910" w:rsidR="001E11A2">
        <w:rPr>
          <w:rStyle w:val="fontstyle01"/>
          <w:rFonts w:ascii="Arial" w:hAnsi="Arial" w:cs="Arial"/>
        </w:rPr>
        <w:t>ion</w:t>
      </w:r>
      <w:r w:rsidRPr="00007910" w:rsidR="008C708A">
        <w:rPr>
          <w:rStyle w:val="fontstyle01"/>
          <w:rFonts w:ascii="Arial" w:hAnsi="Arial" w:cs="Arial"/>
        </w:rPr>
        <w:t xml:space="preserve"> that DER </w:t>
      </w:r>
      <w:r w:rsidRPr="00007910" w:rsidR="008B21C1">
        <w:rPr>
          <w:rStyle w:val="fontstyle01"/>
          <w:rFonts w:ascii="Arial" w:hAnsi="Arial" w:cs="Arial"/>
        </w:rPr>
        <w:t>performance</w:t>
      </w:r>
      <w:r w:rsidRPr="00007910" w:rsidR="008C708A">
        <w:rPr>
          <w:rStyle w:val="fontstyle01"/>
          <w:rFonts w:ascii="Arial" w:hAnsi="Arial" w:cs="Arial"/>
        </w:rPr>
        <w:t xml:space="preserve"> may fall short of expectations.</w:t>
      </w:r>
      <w:r w:rsidRPr="00007910" w:rsidR="002C5E2C">
        <w:rPr>
          <w:rStyle w:val="fontstyle01"/>
          <w:rFonts w:ascii="Arial" w:hAnsi="Arial" w:cs="Arial"/>
        </w:rPr>
        <w:t xml:space="preserve"> This is consistent with </w:t>
      </w:r>
      <w:r w:rsidRPr="00007910" w:rsidR="004B5F09">
        <w:rPr>
          <w:rStyle w:val="fontstyle01"/>
          <w:rFonts w:ascii="Arial" w:hAnsi="Arial" w:cs="Arial"/>
        </w:rPr>
        <w:t xml:space="preserve">aspects of current distribution system planning, where “firm” substation capacity can be thought of as the load carrying capability of the relevant equipment if the </w:t>
      </w:r>
      <w:r w:rsidRPr="00007910" w:rsidR="00293D1C">
        <w:rPr>
          <w:rStyle w:val="fontstyle01"/>
          <w:rFonts w:ascii="Arial" w:hAnsi="Arial" w:cs="Arial"/>
        </w:rPr>
        <w:t>largest transformer fails. This type of planning carries extra</w:t>
      </w:r>
      <w:r w:rsidRPr="00007910" w:rsidR="00180ABD">
        <w:rPr>
          <w:rStyle w:val="fontstyle01"/>
          <w:rFonts w:ascii="Arial" w:hAnsi="Arial" w:cs="Arial"/>
        </w:rPr>
        <w:t xml:space="preserve"> distribution plant carrying</w:t>
      </w:r>
      <w:r w:rsidRPr="00007910" w:rsidR="00293D1C">
        <w:rPr>
          <w:rStyle w:val="fontstyle01"/>
          <w:rFonts w:ascii="Arial" w:hAnsi="Arial" w:cs="Arial"/>
        </w:rPr>
        <w:t xml:space="preserve"> costs</w:t>
      </w:r>
      <w:r w:rsidRPr="00007910" w:rsidR="006C52F7">
        <w:rPr>
          <w:rStyle w:val="fontstyle01"/>
          <w:rFonts w:ascii="Arial" w:hAnsi="Arial" w:cs="Arial"/>
        </w:rPr>
        <w:t xml:space="preserve"> </w:t>
      </w:r>
      <w:proofErr w:type="gramStart"/>
      <w:r w:rsidRPr="00007910" w:rsidR="006C52F7">
        <w:rPr>
          <w:rStyle w:val="fontstyle01"/>
          <w:rFonts w:ascii="Arial" w:hAnsi="Arial" w:cs="Arial"/>
        </w:rPr>
        <w:t>in order to</w:t>
      </w:r>
      <w:proofErr w:type="gramEnd"/>
      <w:r w:rsidRPr="00007910" w:rsidR="006C52F7">
        <w:rPr>
          <w:rStyle w:val="fontstyle01"/>
          <w:rFonts w:ascii="Arial" w:hAnsi="Arial" w:cs="Arial"/>
        </w:rPr>
        <w:t xml:space="preserve"> ensure reliability.</w:t>
      </w:r>
    </w:p>
    <w:p w:rsidRPr="00007910" w:rsidR="00DD1C33" w:rsidP="00A75E2F" w:rsidRDefault="00962F67" w14:paraId="42B0B441" w14:textId="765B3E54">
      <w:pPr>
        <w:jc w:val="both"/>
        <w:rPr>
          <w:rStyle w:val="fontstyle01"/>
          <w:rFonts w:ascii="Arial" w:hAnsi="Arial" w:cs="Arial"/>
        </w:rPr>
      </w:pPr>
      <w:r w:rsidRPr="00007910">
        <w:rPr>
          <w:rStyle w:val="fontstyle01"/>
          <w:rFonts w:ascii="Arial" w:hAnsi="Arial" w:cs="Arial"/>
        </w:rPr>
        <w:t>Use cases for each NWA may be different. While some use cases may emerge as more feasible, practical</w:t>
      </w:r>
      <w:r w:rsidRPr="00007910" w:rsidR="00DC7C54">
        <w:rPr>
          <w:rStyle w:val="fontstyle01"/>
          <w:rFonts w:ascii="Arial" w:hAnsi="Arial" w:cs="Arial"/>
        </w:rPr>
        <w:t>,</w:t>
      </w:r>
      <w:r w:rsidRPr="00007910">
        <w:rPr>
          <w:rStyle w:val="fontstyle01"/>
          <w:rFonts w:ascii="Arial" w:hAnsi="Arial" w:cs="Arial"/>
        </w:rPr>
        <w:t xml:space="preserve"> or economic to pursue through NWAs</w:t>
      </w:r>
      <w:r w:rsidRPr="00007910" w:rsidR="008C708A">
        <w:rPr>
          <w:rStyle w:val="fontstyle01"/>
          <w:rFonts w:ascii="Arial" w:hAnsi="Arial" w:cs="Arial"/>
        </w:rPr>
        <w:t xml:space="preserve"> in the long run</w:t>
      </w:r>
      <w:r w:rsidRPr="00007910">
        <w:rPr>
          <w:rStyle w:val="fontstyle01"/>
          <w:rFonts w:ascii="Arial" w:hAnsi="Arial" w:cs="Arial"/>
        </w:rPr>
        <w:t xml:space="preserve">, the </w:t>
      </w:r>
      <w:r w:rsidRPr="00007910" w:rsidR="008B21C1">
        <w:rPr>
          <w:rStyle w:val="fontstyle01"/>
          <w:rFonts w:ascii="Arial" w:hAnsi="Arial" w:cs="Arial"/>
        </w:rPr>
        <w:t>Authority</w:t>
      </w:r>
      <w:r w:rsidRPr="00007910">
        <w:rPr>
          <w:rStyle w:val="fontstyle01"/>
          <w:rFonts w:ascii="Arial" w:hAnsi="Arial" w:cs="Arial"/>
        </w:rPr>
        <w:t xml:space="preserve"> expects these use cases to be developed through program experience initially. For this reason, PURA does not propose to limit allowable use cases but rather to invite innovative and creative proposals to provide ratepayers savings </w:t>
      </w:r>
      <w:r w:rsidRPr="00007910" w:rsidR="008C708A">
        <w:rPr>
          <w:rStyle w:val="fontstyle01"/>
          <w:rFonts w:ascii="Arial" w:hAnsi="Arial" w:cs="Arial"/>
        </w:rPr>
        <w:t>and/</w:t>
      </w:r>
      <w:r w:rsidRPr="00007910">
        <w:rPr>
          <w:rStyle w:val="fontstyle01"/>
          <w:rFonts w:ascii="Arial" w:hAnsi="Arial" w:cs="Arial"/>
        </w:rPr>
        <w:t>or superior customer and grid services</w:t>
      </w:r>
      <w:r w:rsidRPr="00007910" w:rsidR="00D47675">
        <w:rPr>
          <w:rStyle w:val="fontstyle01"/>
          <w:rFonts w:ascii="Arial" w:hAnsi="Arial" w:cs="Arial"/>
        </w:rPr>
        <w:t>. Initially, as Connecticut develops this program, PURA staff would work with the Third-Par</w:t>
      </w:r>
      <w:r w:rsidRPr="00007910" w:rsidR="009C6C32">
        <w:rPr>
          <w:rStyle w:val="fontstyle01"/>
          <w:rFonts w:ascii="Arial" w:hAnsi="Arial" w:cs="Arial"/>
        </w:rPr>
        <w:t>t</w:t>
      </w:r>
      <w:r w:rsidRPr="00007910" w:rsidR="00D47675">
        <w:rPr>
          <w:rStyle w:val="fontstyle01"/>
          <w:rFonts w:ascii="Arial" w:hAnsi="Arial" w:cs="Arial"/>
        </w:rPr>
        <w:t xml:space="preserve">y </w:t>
      </w:r>
      <w:r w:rsidRPr="00007910" w:rsidR="001E11A2">
        <w:rPr>
          <w:rStyle w:val="fontstyle01"/>
          <w:rFonts w:ascii="Arial" w:hAnsi="Arial" w:cs="Arial"/>
        </w:rPr>
        <w:t>Program Administrator</w:t>
      </w:r>
      <w:r w:rsidRPr="00007910" w:rsidR="00D47675">
        <w:rPr>
          <w:rStyle w:val="fontstyle01"/>
          <w:rFonts w:ascii="Arial" w:hAnsi="Arial" w:cs="Arial"/>
        </w:rPr>
        <w:t xml:space="preserve"> to advise PURA </w:t>
      </w:r>
      <w:r w:rsidRPr="00007910" w:rsidR="00180ABD">
        <w:rPr>
          <w:rStyle w:val="fontstyle01"/>
          <w:rFonts w:ascii="Arial" w:hAnsi="Arial" w:cs="Arial"/>
        </w:rPr>
        <w:t xml:space="preserve">regarding the Third-Party </w:t>
      </w:r>
      <w:r w:rsidRPr="00007910" w:rsidR="00180ABD">
        <w:rPr>
          <w:rStyle w:val="fontstyle01"/>
          <w:rFonts w:ascii="Arial" w:hAnsi="Arial" w:cs="Arial"/>
        </w:rPr>
        <w:lastRenderedPageBreak/>
        <w:t xml:space="preserve">Administrator’s recommendations on </w:t>
      </w:r>
      <w:r w:rsidRPr="00007910" w:rsidR="00DB642E">
        <w:rPr>
          <w:rStyle w:val="fontstyle01"/>
          <w:rFonts w:ascii="Arial" w:hAnsi="Arial" w:cs="Arial"/>
        </w:rPr>
        <w:t>weigh</w:t>
      </w:r>
      <w:r w:rsidRPr="00007910" w:rsidR="00180ABD">
        <w:rPr>
          <w:rStyle w:val="fontstyle01"/>
          <w:rFonts w:ascii="Arial" w:hAnsi="Arial" w:cs="Arial"/>
        </w:rPr>
        <w:t>ing</w:t>
      </w:r>
      <w:r w:rsidRPr="00007910" w:rsidR="00DB642E">
        <w:rPr>
          <w:rStyle w:val="fontstyle01"/>
          <w:rFonts w:ascii="Arial" w:hAnsi="Arial" w:cs="Arial"/>
        </w:rPr>
        <w:t xml:space="preserve"> the types and magnitude of benefits provided by proposed NWAs in </w:t>
      </w:r>
      <w:r w:rsidRPr="00007910" w:rsidR="00D47675">
        <w:rPr>
          <w:rStyle w:val="fontstyle01"/>
          <w:rFonts w:ascii="Arial" w:hAnsi="Arial" w:cs="Arial"/>
        </w:rPr>
        <w:t xml:space="preserve">the </w:t>
      </w:r>
      <w:r w:rsidRPr="00007910" w:rsidR="00DB642E">
        <w:rPr>
          <w:rStyle w:val="fontstyle01"/>
          <w:rFonts w:ascii="Arial" w:hAnsi="Arial" w:cs="Arial"/>
        </w:rPr>
        <w:t xml:space="preserve">RFP process. </w:t>
      </w:r>
    </w:p>
    <w:p w:rsidRPr="00007910" w:rsidR="00DD1C33" w:rsidP="00A75E2F" w:rsidRDefault="00DD1C33" w14:paraId="6A36249F" w14:textId="36D8415E">
      <w:pPr>
        <w:jc w:val="both"/>
        <w:rPr>
          <w:rStyle w:val="fontstyle01"/>
          <w:rFonts w:ascii="Arial" w:hAnsi="Arial" w:cs="Arial"/>
        </w:rPr>
      </w:pPr>
      <w:r w:rsidRPr="00007910">
        <w:rPr>
          <w:rStyle w:val="fontstyle01"/>
          <w:rFonts w:ascii="Arial" w:hAnsi="Arial" w:cs="Arial"/>
        </w:rPr>
        <w:t xml:space="preserve">PURA does accept the comment of the </w:t>
      </w:r>
      <w:r w:rsidRPr="00007910" w:rsidR="00D937CF">
        <w:rPr>
          <w:rStyle w:val="fontstyle01"/>
          <w:rFonts w:ascii="Arial" w:hAnsi="Arial" w:cs="Arial"/>
        </w:rPr>
        <w:t>New England Clean Energy Council and Renew Northeast to allow for use case stacking. While the primary use case may be distribution system reliability or another use, a secondary use case to provide customer benefits behind the meter or participate in the wholesale markets through frequency regulation</w:t>
      </w:r>
      <w:r w:rsidRPr="00007910" w:rsidR="001F0544">
        <w:rPr>
          <w:rStyle w:val="fontstyle01"/>
          <w:rFonts w:ascii="Arial" w:hAnsi="Arial" w:cs="Arial"/>
        </w:rPr>
        <w:t>,</w:t>
      </w:r>
      <w:r w:rsidRPr="00007910" w:rsidR="00D937CF">
        <w:rPr>
          <w:rStyle w:val="fontstyle01"/>
          <w:rFonts w:ascii="Arial" w:hAnsi="Arial" w:cs="Arial"/>
        </w:rPr>
        <w:t xml:space="preserve"> for example for a battery</w:t>
      </w:r>
      <w:r w:rsidRPr="00007910" w:rsidR="001F0544">
        <w:rPr>
          <w:rStyle w:val="fontstyle01"/>
          <w:rFonts w:ascii="Arial" w:hAnsi="Arial" w:cs="Arial"/>
        </w:rPr>
        <w:t>,</w:t>
      </w:r>
      <w:r w:rsidRPr="00007910" w:rsidR="00D937CF">
        <w:rPr>
          <w:rStyle w:val="fontstyle01"/>
          <w:rFonts w:ascii="Arial" w:hAnsi="Arial" w:cs="Arial"/>
        </w:rPr>
        <w:t xml:space="preserve"> is allowable and may be desirable to reduce the costs of different resources in a portfolio or provide an enhanced reserve or resource margin. Examining the complementary nature of different use cases and </w:t>
      </w:r>
      <w:r w:rsidRPr="00007910" w:rsidR="001F0544">
        <w:rPr>
          <w:rStyle w:val="fontstyle01"/>
          <w:rFonts w:ascii="Arial" w:hAnsi="Arial" w:cs="Arial"/>
        </w:rPr>
        <w:t xml:space="preserve">the </w:t>
      </w:r>
      <w:r w:rsidRPr="00007910" w:rsidR="00D937CF">
        <w:rPr>
          <w:rStyle w:val="fontstyle01"/>
          <w:rFonts w:ascii="Arial" w:hAnsi="Arial" w:cs="Arial"/>
        </w:rPr>
        <w:t>ability of resources to meet those use cases under anticipated operational scenarios would be expected when resources with different “stacked” use cases are considered.</w:t>
      </w:r>
    </w:p>
    <w:p w:rsidRPr="00007910" w:rsidR="00D937CF" w:rsidP="00A75E2F" w:rsidRDefault="00D937CF" w14:paraId="48C08F02" w14:textId="26DC5E83">
      <w:pPr>
        <w:jc w:val="both"/>
        <w:rPr>
          <w:rStyle w:val="fontstyle01"/>
          <w:rFonts w:ascii="Arial" w:hAnsi="Arial" w:cs="Arial"/>
        </w:rPr>
      </w:pPr>
      <w:r w:rsidRPr="00007910">
        <w:rPr>
          <w:rStyle w:val="fontstyle01"/>
          <w:rFonts w:ascii="Arial" w:hAnsi="Arial" w:cs="Arial"/>
        </w:rPr>
        <w:t>In fact, since distributed resources can provide multiple retail, wholesale</w:t>
      </w:r>
      <w:r w:rsidRPr="00007910" w:rsidR="00E7142A">
        <w:rPr>
          <w:rStyle w:val="fontstyle01"/>
          <w:rFonts w:ascii="Arial" w:hAnsi="Arial" w:cs="Arial"/>
        </w:rPr>
        <w:t>,</w:t>
      </w:r>
      <w:r w:rsidRPr="00007910">
        <w:rPr>
          <w:rStyle w:val="fontstyle01"/>
          <w:rFonts w:ascii="Arial" w:hAnsi="Arial" w:cs="Arial"/>
        </w:rPr>
        <w:t xml:space="preserve"> and customer level functions in different use cases, the Authority views this resource stacking as increasingly necessary and desirable. A new </w:t>
      </w:r>
      <w:r w:rsidRPr="00007910" w:rsidR="00037261">
        <w:rPr>
          <w:rStyle w:val="fontstyle01"/>
          <w:rFonts w:ascii="Arial" w:hAnsi="Arial" w:cs="Arial"/>
        </w:rPr>
        <w:t>electric vehicle (</w:t>
      </w:r>
      <w:r w:rsidRPr="00007910">
        <w:rPr>
          <w:rStyle w:val="fontstyle01"/>
          <w:rFonts w:ascii="Arial" w:hAnsi="Arial" w:cs="Arial"/>
        </w:rPr>
        <w:t>EV</w:t>
      </w:r>
      <w:r w:rsidRPr="00007910" w:rsidR="00037261">
        <w:rPr>
          <w:rStyle w:val="fontstyle01"/>
          <w:rFonts w:ascii="Arial" w:hAnsi="Arial" w:cs="Arial"/>
        </w:rPr>
        <w:t>)</w:t>
      </w:r>
      <w:r w:rsidRPr="00007910">
        <w:rPr>
          <w:rStyle w:val="fontstyle01"/>
          <w:rFonts w:ascii="Arial" w:hAnsi="Arial" w:cs="Arial"/>
        </w:rPr>
        <w:t xml:space="preserve"> pickup truck or SUV will have a battery capacity capable of providing substantial NWA support, operating in the wholesale markets under an aggregation in Order 2222</w:t>
      </w:r>
      <w:r w:rsidRPr="00007910" w:rsidR="00CB12F3">
        <w:rPr>
          <w:rStyle w:val="fontstyle01"/>
          <w:rFonts w:ascii="Arial" w:hAnsi="Arial" w:cs="Arial"/>
        </w:rPr>
        <w:t>,</w:t>
      </w:r>
      <w:r w:rsidRPr="00007910">
        <w:rPr>
          <w:rStyle w:val="fontstyle01"/>
          <w:rFonts w:ascii="Arial" w:hAnsi="Arial" w:cs="Arial"/>
        </w:rPr>
        <w:t xml:space="preserve"> or providing several days of backup power for a customer residence. Those use cases are more complementary than not and may be combined to support NWAs, wholesale market functions, and customer value.</w:t>
      </w:r>
      <w:r w:rsidRPr="00007910" w:rsidR="008B21C3">
        <w:rPr>
          <w:rStyle w:val="FootnoteReference"/>
          <w:rFonts w:cs="Arial"/>
          <w:color w:val="000000"/>
        </w:rPr>
        <w:footnoteReference w:id="15"/>
      </w:r>
    </w:p>
    <w:p w:rsidRPr="00007910" w:rsidR="00962F67" w:rsidP="00A75E2F" w:rsidRDefault="00DB642E" w14:paraId="08006788" w14:textId="46D3FA41">
      <w:pPr>
        <w:jc w:val="both"/>
        <w:rPr>
          <w:rFonts w:ascii="Arial" w:hAnsi="Arial" w:cs="Arial"/>
          <w:sz w:val="24"/>
          <w:szCs w:val="24"/>
        </w:rPr>
      </w:pPr>
      <w:r w:rsidRPr="00007910">
        <w:rPr>
          <w:rStyle w:val="fontstyle01"/>
          <w:rFonts w:ascii="Arial" w:hAnsi="Arial" w:cs="Arial"/>
        </w:rPr>
        <w:t xml:space="preserve">The </w:t>
      </w:r>
      <w:r w:rsidRPr="00007910" w:rsidR="00180ABD">
        <w:rPr>
          <w:rStyle w:val="fontstyle01"/>
          <w:rFonts w:ascii="Arial" w:hAnsi="Arial" w:cs="Arial"/>
        </w:rPr>
        <w:t>Third-Party Administrator</w:t>
      </w:r>
      <w:r w:rsidRPr="00007910" w:rsidR="009E63E4">
        <w:rPr>
          <w:rStyle w:val="fontstyle01"/>
          <w:rFonts w:ascii="Arial" w:hAnsi="Arial" w:cs="Arial"/>
        </w:rPr>
        <w:t xml:space="preserve"> </w:t>
      </w:r>
      <w:r w:rsidRPr="00007910">
        <w:rPr>
          <w:rStyle w:val="fontstyle01"/>
          <w:rFonts w:ascii="Arial" w:hAnsi="Arial" w:cs="Arial"/>
        </w:rPr>
        <w:t xml:space="preserve">may </w:t>
      </w:r>
      <w:r w:rsidRPr="00007910" w:rsidR="001E11A2">
        <w:rPr>
          <w:rStyle w:val="fontstyle01"/>
          <w:rFonts w:ascii="Arial" w:hAnsi="Arial" w:cs="Arial"/>
        </w:rPr>
        <w:t>select one or more NWAs that provide net positive benefits to ratepayers</w:t>
      </w:r>
      <w:r w:rsidRPr="00007910">
        <w:rPr>
          <w:rStyle w:val="fontstyle01"/>
          <w:rFonts w:ascii="Arial" w:hAnsi="Arial" w:cs="Arial"/>
        </w:rPr>
        <w:t xml:space="preserve"> that meets the specified need</w:t>
      </w:r>
      <w:r w:rsidRPr="00007910" w:rsidR="00D47675">
        <w:rPr>
          <w:rStyle w:val="fontstyle01"/>
          <w:rFonts w:ascii="Arial" w:hAnsi="Arial" w:cs="Arial"/>
        </w:rPr>
        <w:t>(s)</w:t>
      </w:r>
      <w:r w:rsidRPr="00007910" w:rsidR="001F0544">
        <w:rPr>
          <w:rStyle w:val="fontstyle01"/>
          <w:rFonts w:ascii="Arial" w:hAnsi="Arial" w:cs="Arial"/>
        </w:rPr>
        <w:t>.</w:t>
      </w:r>
      <w:r w:rsidRPr="00007910">
        <w:rPr>
          <w:rStyle w:val="fontstyle01"/>
          <w:rFonts w:ascii="Arial" w:hAnsi="Arial" w:cs="Arial"/>
        </w:rPr>
        <w:t xml:space="preserve"> </w:t>
      </w:r>
      <w:r w:rsidRPr="00007910" w:rsidR="001F0544">
        <w:rPr>
          <w:rStyle w:val="fontstyle01"/>
          <w:rFonts w:ascii="Arial" w:hAnsi="Arial" w:cs="Arial"/>
        </w:rPr>
        <w:t>T</w:t>
      </w:r>
      <w:r w:rsidRPr="00007910">
        <w:rPr>
          <w:rStyle w:val="fontstyle01"/>
          <w:rFonts w:ascii="Arial" w:hAnsi="Arial" w:cs="Arial"/>
        </w:rPr>
        <w:t xml:space="preserve">he Authority declines to prescribe </w:t>
      </w:r>
      <w:r w:rsidRPr="00007910" w:rsidR="00D47675">
        <w:rPr>
          <w:rStyle w:val="fontstyle01"/>
          <w:rFonts w:ascii="Arial" w:hAnsi="Arial" w:cs="Arial"/>
        </w:rPr>
        <w:t>quantifications or qualitative factors in use cases for</w:t>
      </w:r>
      <w:r w:rsidRPr="00007910" w:rsidR="001F3A53">
        <w:rPr>
          <w:rStyle w:val="fontstyle01"/>
          <w:rFonts w:ascii="Arial" w:hAnsi="Arial" w:cs="Arial"/>
        </w:rPr>
        <w:t xml:space="preserve"> </w:t>
      </w:r>
      <w:r w:rsidRPr="00007910">
        <w:rPr>
          <w:rStyle w:val="fontstyle01"/>
          <w:rFonts w:ascii="Arial" w:hAnsi="Arial" w:cs="Arial"/>
        </w:rPr>
        <w:t xml:space="preserve">benefits the </w:t>
      </w:r>
      <w:r w:rsidRPr="00007910" w:rsidR="00180ABD">
        <w:rPr>
          <w:rStyle w:val="fontstyle01"/>
          <w:rFonts w:ascii="Arial" w:hAnsi="Arial" w:cs="Arial"/>
        </w:rPr>
        <w:t>Third-Party Administrator</w:t>
      </w:r>
      <w:r w:rsidRPr="00007910" w:rsidR="009E63E4">
        <w:rPr>
          <w:rStyle w:val="fontstyle01"/>
          <w:rFonts w:ascii="Arial" w:hAnsi="Arial" w:cs="Arial"/>
        </w:rPr>
        <w:t xml:space="preserve"> </w:t>
      </w:r>
      <w:r w:rsidRPr="00007910">
        <w:rPr>
          <w:rStyle w:val="fontstyle01"/>
          <w:rFonts w:ascii="Arial" w:hAnsi="Arial" w:cs="Arial"/>
        </w:rPr>
        <w:t xml:space="preserve">may consider or use to select one NWA over another so long as any NWA selected provides net present value positive benefits compared with the traditional solution using the </w:t>
      </w:r>
      <w:r w:rsidRPr="00007910" w:rsidR="00D47675">
        <w:rPr>
          <w:rStyle w:val="fontstyle01"/>
          <w:rFonts w:ascii="Arial" w:hAnsi="Arial" w:cs="Arial"/>
        </w:rPr>
        <w:t xml:space="preserve">benefits and cost </w:t>
      </w:r>
      <w:r w:rsidRPr="00007910">
        <w:rPr>
          <w:rStyle w:val="fontstyle01"/>
          <w:rFonts w:ascii="Arial" w:hAnsi="Arial" w:cs="Arial"/>
        </w:rPr>
        <w:t>tests employed in the CLM plan</w:t>
      </w:r>
      <w:r w:rsidRPr="00007910" w:rsidR="009C6C32">
        <w:rPr>
          <w:rStyle w:val="fontstyle01"/>
          <w:rFonts w:ascii="Arial" w:hAnsi="Arial" w:cs="Arial"/>
        </w:rPr>
        <w:t xml:space="preserve"> while providing for reliable service</w:t>
      </w:r>
      <w:r w:rsidRPr="00007910" w:rsidR="00962F67">
        <w:rPr>
          <w:rStyle w:val="fontstyle01"/>
          <w:rFonts w:ascii="Arial" w:hAnsi="Arial" w:cs="Arial"/>
        </w:rPr>
        <w:t>.</w:t>
      </w:r>
    </w:p>
    <w:p w:rsidRPr="00007910" w:rsidR="001F393D" w:rsidP="001F393D" w:rsidRDefault="001F393D" w14:paraId="73D7D3BD" w14:textId="45F52F4A">
      <w:pPr>
        <w:pStyle w:val="ListParagraph"/>
        <w:numPr>
          <w:ilvl w:val="1"/>
          <w:numId w:val="4"/>
        </w:numPr>
        <w:rPr>
          <w:rStyle w:val="fontstyle01"/>
          <w:rFonts w:ascii="Arial" w:hAnsi="Arial" w:cs="Arial"/>
          <w:b/>
          <w:bCs/>
        </w:rPr>
      </w:pPr>
      <w:r w:rsidRPr="00007910">
        <w:rPr>
          <w:rStyle w:val="fontstyle01"/>
          <w:rFonts w:ascii="Arial" w:hAnsi="Arial" w:cs="Arial"/>
          <w:b/>
          <w:bCs/>
        </w:rPr>
        <w:t>Performance Criteria</w:t>
      </w:r>
    </w:p>
    <w:p w:rsidRPr="00007910" w:rsidR="00BE30DC" w:rsidP="00A75E2F" w:rsidRDefault="001F393D" w14:paraId="70CE2B6F" w14:textId="718FD859">
      <w:pPr>
        <w:jc w:val="both"/>
        <w:rPr>
          <w:rStyle w:val="fontstyle01"/>
          <w:rFonts w:ascii="Arial" w:hAnsi="Arial" w:cs="Arial"/>
        </w:rPr>
      </w:pPr>
      <w:r w:rsidRPr="00007910">
        <w:rPr>
          <w:rStyle w:val="fontstyle01"/>
          <w:rFonts w:ascii="Arial" w:hAnsi="Arial" w:cs="Arial"/>
        </w:rPr>
        <w:t>In evaluating any NWA, the Third</w:t>
      </w:r>
      <w:r w:rsidRPr="00007910" w:rsidR="00950D6A">
        <w:rPr>
          <w:rStyle w:val="fontstyle01"/>
          <w:rFonts w:ascii="Arial" w:hAnsi="Arial" w:cs="Arial"/>
        </w:rPr>
        <w:t>-</w:t>
      </w:r>
      <w:r w:rsidRPr="00007910">
        <w:rPr>
          <w:rStyle w:val="fontstyle01"/>
          <w:rFonts w:ascii="Arial" w:hAnsi="Arial" w:cs="Arial"/>
        </w:rPr>
        <w:t>Party Administrator shall identi</w:t>
      </w:r>
      <w:r w:rsidRPr="00007910" w:rsidR="008D5CB5">
        <w:rPr>
          <w:rStyle w:val="fontstyle01"/>
          <w:rFonts w:ascii="Arial" w:hAnsi="Arial" w:cs="Arial"/>
        </w:rPr>
        <w:t>fy</w:t>
      </w:r>
      <w:r w:rsidRPr="00007910">
        <w:rPr>
          <w:rStyle w:val="fontstyle01"/>
          <w:rFonts w:ascii="Arial" w:hAnsi="Arial" w:cs="Arial"/>
        </w:rPr>
        <w:t xml:space="preserve"> the grid need(s) to be addressed, any other benefits, costs factors fo</w:t>
      </w:r>
      <w:r w:rsidRPr="00007910" w:rsidR="00950D6A">
        <w:rPr>
          <w:rStyle w:val="fontstyle01"/>
          <w:rFonts w:ascii="Arial" w:hAnsi="Arial" w:cs="Arial"/>
        </w:rPr>
        <w:t>r</w:t>
      </w:r>
      <w:r w:rsidRPr="00007910">
        <w:rPr>
          <w:rStyle w:val="fontstyle01"/>
          <w:rFonts w:ascii="Arial" w:hAnsi="Arial" w:cs="Arial"/>
        </w:rPr>
        <w:t xml:space="preserve"> capital</w:t>
      </w:r>
      <w:r w:rsidRPr="00007910" w:rsidR="008D5CB5">
        <w:rPr>
          <w:rStyle w:val="fontstyle01"/>
          <w:rFonts w:ascii="Arial" w:hAnsi="Arial" w:cs="Arial"/>
        </w:rPr>
        <w:t>,</w:t>
      </w:r>
      <w:r w:rsidRPr="00007910">
        <w:rPr>
          <w:rStyle w:val="fontstyle01"/>
          <w:rFonts w:ascii="Arial" w:hAnsi="Arial" w:cs="Arial"/>
        </w:rPr>
        <w:t xml:space="preserve"> and operational aspects of all alternatives consider</w:t>
      </w:r>
      <w:r w:rsidRPr="00007910" w:rsidR="00950D6A">
        <w:rPr>
          <w:rStyle w:val="fontstyle01"/>
          <w:rFonts w:ascii="Arial" w:hAnsi="Arial" w:cs="Arial"/>
        </w:rPr>
        <w:t>ed</w:t>
      </w:r>
      <w:r w:rsidRPr="00007910">
        <w:rPr>
          <w:rStyle w:val="fontstyle01"/>
          <w:rFonts w:ascii="Arial" w:hAnsi="Arial" w:cs="Arial"/>
        </w:rPr>
        <w:t xml:space="preserve"> in the utilit</w:t>
      </w:r>
      <w:r w:rsidRPr="00007910" w:rsidR="00950D6A">
        <w:rPr>
          <w:rStyle w:val="fontstyle01"/>
          <w:rFonts w:ascii="Arial" w:hAnsi="Arial" w:cs="Arial"/>
        </w:rPr>
        <w:t>y’s(</w:t>
      </w:r>
      <w:r w:rsidRPr="00007910">
        <w:rPr>
          <w:rStyle w:val="fontstyle01"/>
          <w:rFonts w:ascii="Arial" w:hAnsi="Arial" w:cs="Arial"/>
        </w:rPr>
        <w:t>ies</w:t>
      </w:r>
      <w:r w:rsidRPr="00007910" w:rsidR="00C733F9">
        <w:rPr>
          <w:rStyle w:val="fontstyle01"/>
          <w:rFonts w:ascii="Arial" w:hAnsi="Arial" w:cs="Arial"/>
        </w:rPr>
        <w:t>’</w:t>
      </w:r>
      <w:r w:rsidRPr="00007910" w:rsidR="00950D6A">
        <w:rPr>
          <w:rStyle w:val="fontstyle01"/>
          <w:rFonts w:ascii="Arial" w:hAnsi="Arial" w:cs="Arial"/>
        </w:rPr>
        <w:t>)</w:t>
      </w:r>
      <w:r w:rsidRPr="00007910">
        <w:rPr>
          <w:rStyle w:val="fontstyle01"/>
          <w:rFonts w:ascii="Arial" w:hAnsi="Arial" w:cs="Arial"/>
        </w:rPr>
        <w:t xml:space="preserve"> traditional set of grid</w:t>
      </w:r>
      <w:r w:rsidRPr="00007910" w:rsidR="00C05F53">
        <w:rPr>
          <w:rStyle w:val="fontstyle01"/>
          <w:rFonts w:ascii="Arial" w:hAnsi="Arial" w:cs="Arial"/>
        </w:rPr>
        <w:t xml:space="preserve"> additions.  The RFP, selection and recommendations of solutions to PURA shall include an evaluation of how different alternatives meet grid needs</w:t>
      </w:r>
      <w:r w:rsidRPr="00007910" w:rsidR="00883563">
        <w:rPr>
          <w:rStyle w:val="fontstyle01"/>
          <w:rFonts w:ascii="Arial" w:hAnsi="Arial" w:cs="Arial"/>
        </w:rPr>
        <w:t>. The grid needs will be refined from the needs identified by the EDC</w:t>
      </w:r>
      <w:r w:rsidRPr="00007910" w:rsidR="00BE30DC">
        <w:rPr>
          <w:rStyle w:val="fontstyle01"/>
          <w:rFonts w:ascii="Arial" w:hAnsi="Arial" w:cs="Arial"/>
        </w:rPr>
        <w:t xml:space="preserve">s </w:t>
      </w:r>
      <w:r w:rsidRPr="00007910" w:rsidR="00180ABD">
        <w:rPr>
          <w:rStyle w:val="fontstyle01"/>
          <w:rFonts w:ascii="Arial" w:hAnsi="Arial" w:cs="Arial"/>
        </w:rPr>
        <w:t>in the EDCs</w:t>
      </w:r>
      <w:r w:rsidR="00A039A7">
        <w:rPr>
          <w:rStyle w:val="fontstyle01"/>
          <w:rFonts w:ascii="Arial" w:hAnsi="Arial" w:cs="Arial"/>
        </w:rPr>
        <w:t>’</w:t>
      </w:r>
      <w:r w:rsidRPr="00007910" w:rsidR="00180ABD">
        <w:rPr>
          <w:rStyle w:val="fontstyle01"/>
          <w:rFonts w:ascii="Arial" w:hAnsi="Arial" w:cs="Arial"/>
        </w:rPr>
        <w:t xml:space="preserve"> annual filing of distribution system needs by elements specified in Appendix B and specifically </w:t>
      </w:r>
      <w:r w:rsidRPr="00007910" w:rsidR="00BE30DC">
        <w:rPr>
          <w:rStyle w:val="fontstyle01"/>
          <w:rFonts w:ascii="Arial" w:hAnsi="Arial" w:cs="Arial"/>
        </w:rPr>
        <w:t>each distribution system improvement</w:t>
      </w:r>
      <w:r w:rsidRPr="00007910" w:rsidR="00180ABD">
        <w:rPr>
          <w:rStyle w:val="fontstyle01"/>
          <w:rFonts w:ascii="Arial" w:hAnsi="Arial" w:cs="Arial"/>
        </w:rPr>
        <w:t xml:space="preserve"> of $500,000</w:t>
      </w:r>
      <w:r w:rsidRPr="00007910" w:rsidR="00BE30DC">
        <w:rPr>
          <w:rStyle w:val="fontstyle01"/>
          <w:rFonts w:ascii="Arial" w:hAnsi="Arial" w:cs="Arial"/>
        </w:rPr>
        <w:t>.</w:t>
      </w:r>
    </w:p>
    <w:p w:rsidRPr="00007910" w:rsidR="00BE30DC" w:rsidP="00A75E2F" w:rsidRDefault="00BE30DC" w14:paraId="096D8796" w14:textId="603C546D">
      <w:pPr>
        <w:jc w:val="both"/>
        <w:rPr>
          <w:rStyle w:val="fontstyle01"/>
          <w:rFonts w:ascii="Arial" w:hAnsi="Arial" w:cs="Arial"/>
        </w:rPr>
      </w:pPr>
      <w:r w:rsidRPr="00007910">
        <w:rPr>
          <w:rStyle w:val="fontstyle01"/>
          <w:rFonts w:ascii="Arial" w:hAnsi="Arial" w:cs="Arial"/>
        </w:rPr>
        <w:lastRenderedPageBreak/>
        <w:t>Performance criteria to ensure delivery of anticipated grid benefits, within anticipated cost ranges will be identified w</w:t>
      </w:r>
      <w:r w:rsidRPr="00007910" w:rsidR="00950D6A">
        <w:rPr>
          <w:rStyle w:val="fontstyle01"/>
          <w:rFonts w:ascii="Arial" w:hAnsi="Arial" w:cs="Arial"/>
        </w:rPr>
        <w:t>ith</w:t>
      </w:r>
      <w:r w:rsidRPr="00007910">
        <w:rPr>
          <w:rStyle w:val="fontstyle01"/>
          <w:rFonts w:ascii="Arial" w:hAnsi="Arial" w:cs="Arial"/>
        </w:rPr>
        <w:t xml:space="preserve"> each NWA solution recommended by </w:t>
      </w:r>
      <w:r w:rsidRPr="00007910" w:rsidR="00950D6A">
        <w:rPr>
          <w:rStyle w:val="fontstyle01"/>
          <w:rFonts w:ascii="Arial" w:hAnsi="Arial" w:cs="Arial"/>
        </w:rPr>
        <w:t xml:space="preserve">the </w:t>
      </w:r>
      <w:r w:rsidRPr="00007910">
        <w:rPr>
          <w:rStyle w:val="fontstyle01"/>
          <w:rFonts w:ascii="Arial" w:hAnsi="Arial" w:cs="Arial"/>
        </w:rPr>
        <w:t>Third</w:t>
      </w:r>
      <w:r w:rsidRPr="00007910" w:rsidR="00950D6A">
        <w:rPr>
          <w:rStyle w:val="fontstyle01"/>
          <w:rFonts w:ascii="Arial" w:hAnsi="Arial" w:cs="Arial"/>
        </w:rPr>
        <w:t>-</w:t>
      </w:r>
      <w:r w:rsidRPr="00007910">
        <w:rPr>
          <w:rStyle w:val="fontstyle01"/>
          <w:rFonts w:ascii="Arial" w:hAnsi="Arial" w:cs="Arial"/>
        </w:rPr>
        <w:t xml:space="preserve">Party Administrator to PURA. </w:t>
      </w:r>
    </w:p>
    <w:p w:rsidRPr="00007910" w:rsidR="001F393D" w:rsidP="00A75E2F" w:rsidRDefault="00BE30DC" w14:paraId="73EE0C2A" w14:textId="00D9E510">
      <w:pPr>
        <w:jc w:val="both"/>
        <w:rPr>
          <w:rStyle w:val="fontstyle01"/>
          <w:rFonts w:ascii="Arial" w:hAnsi="Arial" w:cs="Arial"/>
        </w:rPr>
      </w:pPr>
      <w:r w:rsidRPr="00007910">
        <w:rPr>
          <w:rStyle w:val="fontstyle01"/>
          <w:rFonts w:ascii="Arial" w:hAnsi="Arial" w:cs="Arial"/>
        </w:rPr>
        <w:t xml:space="preserve">For </w:t>
      </w:r>
      <w:r w:rsidRPr="00007910" w:rsidR="008B21C1">
        <w:rPr>
          <w:rStyle w:val="fontstyle01"/>
          <w:rFonts w:ascii="Arial" w:hAnsi="Arial" w:cs="Arial"/>
        </w:rPr>
        <w:t>additional</w:t>
      </w:r>
      <w:r w:rsidRPr="00007910">
        <w:rPr>
          <w:rStyle w:val="fontstyle01"/>
          <w:rFonts w:ascii="Arial" w:hAnsi="Arial" w:cs="Arial"/>
        </w:rPr>
        <w:t xml:space="preserve"> operational, grid, customer or other benefits, the Third</w:t>
      </w:r>
      <w:r w:rsidRPr="00007910" w:rsidR="00950D6A">
        <w:rPr>
          <w:rStyle w:val="fontstyle01"/>
          <w:rFonts w:ascii="Arial" w:hAnsi="Arial" w:cs="Arial"/>
        </w:rPr>
        <w:t>-</w:t>
      </w:r>
      <w:r w:rsidRPr="00007910">
        <w:rPr>
          <w:rStyle w:val="fontstyle01"/>
          <w:rFonts w:ascii="Arial" w:hAnsi="Arial" w:cs="Arial"/>
        </w:rPr>
        <w:t xml:space="preserve">Party Administrator shall also propose performance criteria to evaluate NWA Solution </w:t>
      </w:r>
      <w:r w:rsidRPr="00007910" w:rsidR="00950D6A">
        <w:rPr>
          <w:rStyle w:val="fontstyle01"/>
          <w:rFonts w:ascii="Arial" w:hAnsi="Arial" w:cs="Arial"/>
        </w:rPr>
        <w:t>s</w:t>
      </w:r>
      <w:r w:rsidRPr="00007910">
        <w:rPr>
          <w:rStyle w:val="fontstyle01"/>
          <w:rFonts w:ascii="Arial" w:hAnsi="Arial" w:cs="Arial"/>
        </w:rPr>
        <w:t>uccess. Together with operational, implementation</w:t>
      </w:r>
      <w:r w:rsidRPr="00007910" w:rsidR="004200F9">
        <w:rPr>
          <w:rStyle w:val="fontstyle01"/>
          <w:rFonts w:ascii="Arial" w:hAnsi="Arial" w:cs="Arial"/>
        </w:rPr>
        <w:t>,</w:t>
      </w:r>
      <w:r w:rsidRPr="00007910">
        <w:rPr>
          <w:rStyle w:val="fontstyle01"/>
          <w:rFonts w:ascii="Arial" w:hAnsi="Arial" w:cs="Arial"/>
        </w:rPr>
        <w:t xml:space="preserve"> and other performance criteria, any cost criteria importan</w:t>
      </w:r>
      <w:r w:rsidRPr="00007910" w:rsidR="00950D6A">
        <w:rPr>
          <w:rStyle w:val="fontstyle01"/>
          <w:rFonts w:ascii="Arial" w:hAnsi="Arial" w:cs="Arial"/>
        </w:rPr>
        <w:t>t</w:t>
      </w:r>
      <w:r w:rsidRPr="00007910">
        <w:rPr>
          <w:rStyle w:val="fontstyle01"/>
          <w:rFonts w:ascii="Arial" w:hAnsi="Arial" w:cs="Arial"/>
        </w:rPr>
        <w:t xml:space="preserve"> to track will also be identified</w:t>
      </w:r>
      <w:r w:rsidRPr="00007910" w:rsidR="00D27C93">
        <w:rPr>
          <w:rStyle w:val="fontstyle01"/>
          <w:rFonts w:ascii="Arial" w:hAnsi="Arial" w:cs="Arial"/>
        </w:rPr>
        <w:t xml:space="preserve"> by the Third-Party Administrator and provided</w:t>
      </w:r>
      <w:r w:rsidRPr="00007910" w:rsidR="00950D6A">
        <w:rPr>
          <w:rStyle w:val="fontstyle01"/>
          <w:rFonts w:ascii="Arial" w:hAnsi="Arial" w:cs="Arial"/>
        </w:rPr>
        <w:t xml:space="preserve"> to PURA</w:t>
      </w:r>
      <w:r w:rsidRPr="00007910" w:rsidR="00D27C93">
        <w:rPr>
          <w:rStyle w:val="fontstyle01"/>
          <w:rFonts w:ascii="Arial" w:hAnsi="Arial" w:cs="Arial"/>
        </w:rPr>
        <w:t xml:space="preserve"> for further review and development</w:t>
      </w:r>
      <w:r w:rsidRPr="00007910">
        <w:rPr>
          <w:rStyle w:val="fontstyle01"/>
          <w:rFonts w:ascii="Arial" w:hAnsi="Arial" w:cs="Arial"/>
        </w:rPr>
        <w:t>.</w:t>
      </w:r>
    </w:p>
    <w:p w:rsidRPr="00007910" w:rsidR="00D47675" w:rsidP="00A75E2F" w:rsidRDefault="00D47675" w14:paraId="142708B8" w14:textId="716E5EE9">
      <w:pPr>
        <w:jc w:val="both"/>
        <w:rPr>
          <w:rStyle w:val="fontstyle01"/>
          <w:rFonts w:ascii="Arial" w:hAnsi="Arial" w:cs="Arial"/>
          <w:b/>
          <w:bCs/>
        </w:rPr>
      </w:pPr>
      <w:r w:rsidRPr="00007910">
        <w:rPr>
          <w:rStyle w:val="fontstyle01"/>
          <w:rFonts w:ascii="Arial" w:hAnsi="Arial" w:cs="Arial"/>
        </w:rPr>
        <w:t>As with the cost-benefit and use case approach above, as Connecticut develops this program, PURA staff would work with the Third-Par</w:t>
      </w:r>
      <w:r w:rsidRPr="00007910" w:rsidR="00E12524">
        <w:rPr>
          <w:rStyle w:val="fontstyle01"/>
          <w:rFonts w:ascii="Arial" w:hAnsi="Arial" w:cs="Arial"/>
        </w:rPr>
        <w:t>t</w:t>
      </w:r>
      <w:r w:rsidRPr="00007910">
        <w:rPr>
          <w:rStyle w:val="fontstyle01"/>
          <w:rFonts w:ascii="Arial" w:hAnsi="Arial" w:cs="Arial"/>
        </w:rPr>
        <w:t>y Program Administrator to advise PURA on the types and magnitude of benefits provided by proposed NWAs in the RFP process. The Program Administrator may select one or more NWAs that provide net positive benefits to ratepayers that meets the specified need(s) and other criteria consistent with the benefits and cost test employed in the C</w:t>
      </w:r>
      <w:r w:rsidRPr="00007910" w:rsidR="00D15FD2">
        <w:rPr>
          <w:rStyle w:val="fontstyle01"/>
          <w:rFonts w:ascii="Arial" w:hAnsi="Arial" w:cs="Arial"/>
        </w:rPr>
        <w:t>&amp;</w:t>
      </w:r>
      <w:r w:rsidRPr="00007910">
        <w:rPr>
          <w:rStyle w:val="fontstyle01"/>
          <w:rFonts w:ascii="Arial" w:hAnsi="Arial" w:cs="Arial"/>
        </w:rPr>
        <w:t>LM</w:t>
      </w:r>
      <w:r w:rsidRPr="00007910" w:rsidR="00D15FD2">
        <w:rPr>
          <w:rStyle w:val="fontstyle01"/>
          <w:rFonts w:ascii="Arial" w:hAnsi="Arial" w:cs="Arial"/>
        </w:rPr>
        <w:t xml:space="preserve"> plan</w:t>
      </w:r>
      <w:r w:rsidRPr="00007910">
        <w:rPr>
          <w:rStyle w:val="fontstyle01"/>
          <w:rFonts w:ascii="Arial" w:hAnsi="Arial" w:cs="Arial"/>
        </w:rPr>
        <w:t xml:space="preserve">. The Authority declines to prescribe performance criteria beyond mandating that the </w:t>
      </w:r>
      <w:r w:rsidRPr="00007910" w:rsidR="00AB177F">
        <w:rPr>
          <w:rStyle w:val="fontstyle01"/>
          <w:rFonts w:ascii="Arial" w:hAnsi="Arial" w:cs="Arial"/>
        </w:rPr>
        <w:t>Third-Party Administrator</w:t>
      </w:r>
      <w:r w:rsidRPr="00007910">
        <w:rPr>
          <w:rStyle w:val="fontstyle01"/>
          <w:rFonts w:ascii="Arial" w:hAnsi="Arial" w:cs="Arial"/>
        </w:rPr>
        <w:t xml:space="preserve"> may consider or use to select one NWA over another with criteria for each NWA project s</w:t>
      </w:r>
      <w:r w:rsidRPr="00007910" w:rsidR="00E12524">
        <w:rPr>
          <w:rStyle w:val="fontstyle01"/>
          <w:rFonts w:ascii="Arial" w:hAnsi="Arial" w:cs="Arial"/>
        </w:rPr>
        <w:t>e</w:t>
      </w:r>
      <w:r w:rsidRPr="00007910">
        <w:rPr>
          <w:rStyle w:val="fontstyle01"/>
          <w:rFonts w:ascii="Arial" w:hAnsi="Arial" w:cs="Arial"/>
        </w:rPr>
        <w:t>lected to ensure any NWA selected provides net present value positive benefits compared with the traditional solution using the benefits and cost tests employed in the C</w:t>
      </w:r>
      <w:r w:rsidRPr="00007910" w:rsidR="00D15FD2">
        <w:rPr>
          <w:rStyle w:val="fontstyle01"/>
          <w:rFonts w:ascii="Arial" w:hAnsi="Arial" w:cs="Arial"/>
        </w:rPr>
        <w:t>&amp;</w:t>
      </w:r>
      <w:r w:rsidRPr="00007910">
        <w:rPr>
          <w:rStyle w:val="fontstyle01"/>
          <w:rFonts w:ascii="Arial" w:hAnsi="Arial" w:cs="Arial"/>
        </w:rPr>
        <w:t>LM plan.</w:t>
      </w:r>
    </w:p>
    <w:p w:rsidRPr="00A75E2F" w:rsidR="001F393D" w:rsidP="001F393D" w:rsidRDefault="00A7617D" w14:paraId="300A56AD" w14:textId="7CA22839">
      <w:pPr>
        <w:pStyle w:val="ListParagraph"/>
        <w:numPr>
          <w:ilvl w:val="1"/>
          <w:numId w:val="4"/>
        </w:numPr>
        <w:rPr>
          <w:rStyle w:val="fontstyle01"/>
          <w:rFonts w:ascii="Arial" w:hAnsi="Arial" w:cs="Arial"/>
          <w:b/>
          <w:bCs/>
          <w:sz w:val="16"/>
          <w:szCs w:val="16"/>
        </w:rPr>
      </w:pPr>
      <w:r w:rsidRPr="00007910">
        <w:rPr>
          <w:rStyle w:val="fontstyle01"/>
          <w:rFonts w:ascii="Arial" w:hAnsi="Arial" w:cs="Arial"/>
          <w:b/>
          <w:bCs/>
        </w:rPr>
        <w:t>Measurement and Verification Plan Requirements</w:t>
      </w:r>
      <w:r w:rsidRPr="00A75E2F" w:rsidR="001F393D">
        <w:rPr>
          <w:rStyle w:val="fontstyle01"/>
          <w:rFonts w:ascii="Arial" w:hAnsi="Arial" w:cs="Arial"/>
          <w:sz w:val="16"/>
          <w:szCs w:val="16"/>
        </w:rPr>
        <w:br/>
      </w:r>
    </w:p>
    <w:p w:rsidR="00BE30DC" w:rsidP="00A75E2F" w:rsidRDefault="001F393D" w14:paraId="1A73A0D7" w14:textId="323BFB58">
      <w:pPr>
        <w:pStyle w:val="ListParagraph"/>
        <w:ind w:left="0"/>
        <w:jc w:val="both"/>
        <w:rPr>
          <w:rStyle w:val="fontstyle01"/>
          <w:rFonts w:ascii="Arial" w:hAnsi="Arial" w:cs="Arial"/>
        </w:rPr>
      </w:pPr>
      <w:r w:rsidRPr="00007910">
        <w:rPr>
          <w:rStyle w:val="fontstyle01"/>
          <w:rFonts w:ascii="Arial" w:hAnsi="Arial" w:cs="Arial"/>
        </w:rPr>
        <w:t>Each NWA that is procured will have performance criteria specified in the RFP and</w:t>
      </w:r>
      <w:r w:rsidRPr="00007910" w:rsidR="00950D6A">
        <w:rPr>
          <w:rStyle w:val="fontstyle01"/>
          <w:rFonts w:ascii="Arial" w:hAnsi="Arial" w:cs="Arial"/>
        </w:rPr>
        <w:t xml:space="preserve"> may be further developed through the Third-Party Administrator process, ultimately to be</w:t>
      </w:r>
      <w:r w:rsidRPr="00007910">
        <w:rPr>
          <w:rStyle w:val="fontstyle01"/>
          <w:rFonts w:ascii="Arial" w:hAnsi="Arial" w:cs="Arial"/>
        </w:rPr>
        <w:t xml:space="preserve"> approved by PURA</w:t>
      </w:r>
      <w:r w:rsidRPr="00007910" w:rsidR="00BE30DC">
        <w:rPr>
          <w:rStyle w:val="fontstyle01"/>
          <w:rFonts w:ascii="Arial" w:hAnsi="Arial" w:cs="Arial"/>
        </w:rPr>
        <w:t xml:space="preserve"> as described above</w:t>
      </w:r>
      <w:r w:rsidRPr="00007910">
        <w:rPr>
          <w:rStyle w:val="fontstyle01"/>
          <w:rFonts w:ascii="Arial" w:hAnsi="Arial" w:cs="Arial"/>
        </w:rPr>
        <w:t xml:space="preserve">. The </w:t>
      </w:r>
      <w:r w:rsidRPr="00007910" w:rsidR="00BE30DC">
        <w:rPr>
          <w:rStyle w:val="fontstyle01"/>
          <w:rFonts w:ascii="Arial" w:hAnsi="Arial" w:cs="Arial"/>
        </w:rPr>
        <w:t>performance criteria will be refined to development, deployment, implementation, operational</w:t>
      </w:r>
      <w:r w:rsidRPr="00007910" w:rsidR="003C5C1D">
        <w:rPr>
          <w:rStyle w:val="fontstyle01"/>
          <w:rFonts w:ascii="Arial" w:hAnsi="Arial" w:cs="Arial"/>
        </w:rPr>
        <w:t>,</w:t>
      </w:r>
      <w:r w:rsidRPr="00007910" w:rsidR="00BE30DC">
        <w:rPr>
          <w:rStyle w:val="fontstyle01"/>
          <w:rFonts w:ascii="Arial" w:hAnsi="Arial" w:cs="Arial"/>
        </w:rPr>
        <w:t xml:space="preserve"> and reporting metrics. Those metrics will be quantifiable with precise data to be collected and</w:t>
      </w:r>
      <w:r w:rsidRPr="00007910" w:rsidR="00D27C93">
        <w:rPr>
          <w:rStyle w:val="fontstyle01"/>
          <w:rFonts w:ascii="Arial" w:hAnsi="Arial" w:cs="Arial"/>
        </w:rPr>
        <w:t xml:space="preserve"> specified</w:t>
      </w:r>
      <w:r w:rsidRPr="00007910" w:rsidR="00BE30DC">
        <w:rPr>
          <w:rStyle w:val="fontstyle01"/>
          <w:rFonts w:ascii="Arial" w:hAnsi="Arial" w:cs="Arial"/>
        </w:rPr>
        <w:t xml:space="preserve"> formulas to be applied to the extent practical</w:t>
      </w:r>
      <w:r w:rsidRPr="00007910" w:rsidR="00D27C93">
        <w:rPr>
          <w:rStyle w:val="fontstyle01"/>
          <w:rFonts w:ascii="Arial" w:hAnsi="Arial" w:cs="Arial"/>
        </w:rPr>
        <w:t xml:space="preserve"> in PURA’s approvals</w:t>
      </w:r>
      <w:r w:rsidRPr="00007910" w:rsidR="00BE30DC">
        <w:rPr>
          <w:rStyle w:val="fontstyle01"/>
          <w:rFonts w:ascii="Arial" w:hAnsi="Arial" w:cs="Arial"/>
        </w:rPr>
        <w:t>.</w:t>
      </w:r>
      <w:r w:rsidRPr="00007910" w:rsidR="00D27C93">
        <w:rPr>
          <w:rStyle w:val="fontstyle01"/>
          <w:rFonts w:ascii="Arial" w:hAnsi="Arial" w:cs="Arial"/>
        </w:rPr>
        <w:t xml:space="preserve"> The Third-Party Administrator may make recommendations for specific performance criteria for each recommended NWA.</w:t>
      </w:r>
    </w:p>
    <w:p w:rsidRPr="00007910" w:rsidR="00DB211C" w:rsidP="00A75E2F" w:rsidRDefault="00DB211C" w14:paraId="56BC019E" w14:textId="77777777">
      <w:pPr>
        <w:pStyle w:val="ListParagraph"/>
        <w:ind w:left="0"/>
        <w:jc w:val="both"/>
        <w:rPr>
          <w:rStyle w:val="fontstyle01"/>
          <w:rFonts w:ascii="Arial" w:hAnsi="Arial" w:cs="Arial"/>
        </w:rPr>
      </w:pPr>
    </w:p>
    <w:p w:rsidR="00DB211C" w:rsidP="00A75E2F" w:rsidRDefault="00BE30DC" w14:paraId="4C150B98" w14:textId="42262B9F">
      <w:pPr>
        <w:pStyle w:val="ListParagraph"/>
        <w:ind w:left="0"/>
        <w:jc w:val="both"/>
        <w:rPr>
          <w:rStyle w:val="fontstyle01"/>
          <w:rFonts w:ascii="Arial" w:hAnsi="Arial" w:cs="Arial"/>
        </w:rPr>
      </w:pPr>
      <w:r w:rsidRPr="00007910">
        <w:rPr>
          <w:rStyle w:val="fontstyle01"/>
          <w:rFonts w:ascii="Arial" w:hAnsi="Arial" w:cs="Arial"/>
        </w:rPr>
        <w:t xml:space="preserve">If some metrics cannot be quantified, qualitative metrics </w:t>
      </w:r>
      <w:r w:rsidRPr="00007910" w:rsidR="00D27C93">
        <w:rPr>
          <w:rStyle w:val="fontstyle01"/>
          <w:rFonts w:ascii="Arial" w:hAnsi="Arial" w:cs="Arial"/>
        </w:rPr>
        <w:t>may</w:t>
      </w:r>
      <w:r w:rsidRPr="00007910">
        <w:rPr>
          <w:rStyle w:val="fontstyle01"/>
          <w:rFonts w:ascii="Arial" w:hAnsi="Arial" w:cs="Arial"/>
        </w:rPr>
        <w:t xml:space="preserve"> be </w:t>
      </w:r>
      <w:r w:rsidRPr="00007910" w:rsidR="00D27C93">
        <w:rPr>
          <w:rStyle w:val="fontstyle01"/>
          <w:rFonts w:ascii="Arial" w:hAnsi="Arial" w:cs="Arial"/>
        </w:rPr>
        <w:t>considered</w:t>
      </w:r>
      <w:r w:rsidRPr="00007910">
        <w:rPr>
          <w:rStyle w:val="fontstyle01"/>
          <w:rFonts w:ascii="Arial" w:hAnsi="Arial" w:cs="Arial"/>
        </w:rPr>
        <w:t xml:space="preserve">. </w:t>
      </w:r>
      <w:r w:rsidRPr="00007910" w:rsidR="00D27C93">
        <w:rPr>
          <w:rStyle w:val="fontstyle01"/>
          <w:rFonts w:ascii="Arial" w:hAnsi="Arial" w:cs="Arial"/>
        </w:rPr>
        <w:t>For example, one</w:t>
      </w:r>
      <w:r w:rsidRPr="00007910">
        <w:rPr>
          <w:rStyle w:val="fontstyle01"/>
          <w:rFonts w:ascii="Arial" w:hAnsi="Arial" w:cs="Arial"/>
        </w:rPr>
        <w:t xml:space="preserve"> such qualitative metric could be end-user experience where </w:t>
      </w:r>
      <w:r w:rsidRPr="00007910" w:rsidR="003C5C1D">
        <w:rPr>
          <w:rStyle w:val="fontstyle01"/>
          <w:rFonts w:ascii="Arial" w:hAnsi="Arial" w:cs="Arial"/>
        </w:rPr>
        <w:t>behind-the-meter (</w:t>
      </w:r>
      <w:r w:rsidRPr="00007910">
        <w:rPr>
          <w:rStyle w:val="fontstyle01"/>
          <w:rFonts w:ascii="Arial" w:hAnsi="Arial" w:cs="Arial"/>
        </w:rPr>
        <w:t>BTM</w:t>
      </w:r>
      <w:r w:rsidRPr="00007910" w:rsidR="003C5C1D">
        <w:rPr>
          <w:rStyle w:val="fontstyle01"/>
          <w:rFonts w:ascii="Arial" w:hAnsi="Arial" w:cs="Arial"/>
        </w:rPr>
        <w:t>)</w:t>
      </w:r>
      <w:r w:rsidRPr="00007910">
        <w:rPr>
          <w:rStyle w:val="fontstyle01"/>
          <w:rFonts w:ascii="Arial" w:hAnsi="Arial" w:cs="Arial"/>
        </w:rPr>
        <w:t xml:space="preserve"> technologies participate in a</w:t>
      </w:r>
      <w:r w:rsidRPr="00007910" w:rsidR="00D27C93">
        <w:rPr>
          <w:rStyle w:val="fontstyle01"/>
          <w:rFonts w:ascii="Arial" w:hAnsi="Arial" w:cs="Arial"/>
        </w:rPr>
        <w:t>n</w:t>
      </w:r>
      <w:r w:rsidRPr="00007910">
        <w:rPr>
          <w:rStyle w:val="fontstyle01"/>
          <w:rFonts w:ascii="Arial" w:hAnsi="Arial" w:cs="Arial"/>
        </w:rPr>
        <w:t xml:space="preserve"> NWA </w:t>
      </w:r>
      <w:proofErr w:type="gramStart"/>
      <w:r w:rsidRPr="00007910">
        <w:rPr>
          <w:rStyle w:val="fontstyle01"/>
          <w:rFonts w:ascii="Arial" w:hAnsi="Arial" w:cs="Arial"/>
        </w:rPr>
        <w:t>and also</w:t>
      </w:r>
      <w:proofErr w:type="gramEnd"/>
      <w:r w:rsidRPr="00007910">
        <w:rPr>
          <w:rStyle w:val="fontstyle01"/>
          <w:rFonts w:ascii="Arial" w:hAnsi="Arial" w:cs="Arial"/>
        </w:rPr>
        <w:t xml:space="preserve"> provide end-user benefits. </w:t>
      </w:r>
      <w:r w:rsidRPr="00007910" w:rsidR="00D27C93">
        <w:rPr>
          <w:rStyle w:val="fontstyle01"/>
          <w:rFonts w:ascii="Arial" w:hAnsi="Arial" w:cs="Arial"/>
        </w:rPr>
        <w:t>The Authority recognizes that</w:t>
      </w:r>
      <w:r w:rsidRPr="00007910">
        <w:rPr>
          <w:rStyle w:val="fontstyle01"/>
          <w:rFonts w:ascii="Arial" w:hAnsi="Arial" w:cs="Arial"/>
        </w:rPr>
        <w:t xml:space="preserve"> measures and metrics such a</w:t>
      </w:r>
      <w:r w:rsidR="00DB211C">
        <w:rPr>
          <w:rStyle w:val="fontstyle01"/>
          <w:rFonts w:ascii="Arial" w:hAnsi="Arial" w:cs="Arial"/>
        </w:rPr>
        <w:t>s</w:t>
      </w:r>
      <w:r w:rsidRPr="00007910">
        <w:rPr>
          <w:rStyle w:val="fontstyle01"/>
          <w:rFonts w:ascii="Arial" w:hAnsi="Arial" w:cs="Arial"/>
        </w:rPr>
        <w:t xml:space="preserve"> end-user </w:t>
      </w:r>
      <w:r w:rsidRPr="00007910" w:rsidR="00AB177F">
        <w:rPr>
          <w:rStyle w:val="fontstyle01"/>
          <w:rFonts w:ascii="Arial" w:hAnsi="Arial" w:cs="Arial"/>
        </w:rPr>
        <w:t>benefits and experience</w:t>
      </w:r>
      <w:r w:rsidRPr="00007910">
        <w:rPr>
          <w:rStyle w:val="fontstyle01"/>
          <w:rFonts w:ascii="Arial" w:hAnsi="Arial" w:cs="Arial"/>
        </w:rPr>
        <w:t xml:space="preserve"> may involve both </w:t>
      </w:r>
      <w:r w:rsidRPr="00007910" w:rsidR="008B21C1">
        <w:rPr>
          <w:rStyle w:val="fontstyle01"/>
          <w:rFonts w:ascii="Arial" w:hAnsi="Arial" w:cs="Arial"/>
        </w:rPr>
        <w:t>quantified</w:t>
      </w:r>
      <w:r w:rsidRPr="00007910">
        <w:rPr>
          <w:rStyle w:val="fontstyle01"/>
          <w:rFonts w:ascii="Arial" w:hAnsi="Arial" w:cs="Arial"/>
        </w:rPr>
        <w:t xml:space="preserve"> metrics and qualitative measures</w:t>
      </w:r>
      <w:r w:rsidRPr="00007910" w:rsidR="00D27C93">
        <w:rPr>
          <w:rStyle w:val="fontstyle01"/>
          <w:rFonts w:ascii="Arial" w:hAnsi="Arial" w:cs="Arial"/>
        </w:rPr>
        <w:t xml:space="preserve">: </w:t>
      </w:r>
      <w:r w:rsidRPr="00007910">
        <w:rPr>
          <w:rStyle w:val="fontstyle01"/>
          <w:rFonts w:ascii="Arial" w:hAnsi="Arial" w:cs="Arial"/>
        </w:rPr>
        <w:t>a BT</w:t>
      </w:r>
      <w:r w:rsidRPr="00007910" w:rsidR="00E14F9E">
        <w:rPr>
          <w:rStyle w:val="fontstyle01"/>
          <w:rFonts w:ascii="Arial" w:hAnsi="Arial" w:cs="Arial"/>
        </w:rPr>
        <w:t>M</w:t>
      </w:r>
      <w:r w:rsidRPr="00007910">
        <w:rPr>
          <w:rStyle w:val="fontstyle01"/>
          <w:rFonts w:ascii="Arial" w:hAnsi="Arial" w:cs="Arial"/>
        </w:rPr>
        <w:t xml:space="preserve"> battery </w:t>
      </w:r>
      <w:r w:rsidRPr="00007910" w:rsidR="008B21C1">
        <w:rPr>
          <w:rStyle w:val="fontstyle01"/>
          <w:rFonts w:ascii="Arial" w:hAnsi="Arial" w:cs="Arial"/>
        </w:rPr>
        <w:t>installation</w:t>
      </w:r>
      <w:r w:rsidRPr="00007910">
        <w:rPr>
          <w:rStyle w:val="fontstyle01"/>
          <w:rFonts w:ascii="Arial" w:hAnsi="Arial" w:cs="Arial"/>
        </w:rPr>
        <w:t xml:space="preserve"> available for back-up or storm outage power might have minutes of back-up power</w:t>
      </w:r>
      <w:r w:rsidRPr="00007910" w:rsidR="00D27C93">
        <w:rPr>
          <w:rStyle w:val="fontstyle01"/>
          <w:rFonts w:ascii="Arial" w:hAnsi="Arial" w:cs="Arial"/>
        </w:rPr>
        <w:t xml:space="preserve"> </w:t>
      </w:r>
      <w:r w:rsidR="00DB211C">
        <w:rPr>
          <w:rStyle w:val="fontstyle01"/>
          <w:rFonts w:ascii="Arial" w:hAnsi="Arial" w:cs="Arial"/>
        </w:rPr>
        <w:t xml:space="preserve">to </w:t>
      </w:r>
      <w:r w:rsidRPr="00007910" w:rsidR="00D27C93">
        <w:rPr>
          <w:rStyle w:val="fontstyle01"/>
          <w:rFonts w:ascii="Arial" w:hAnsi="Arial" w:cs="Arial"/>
        </w:rPr>
        <w:t>provide as a specified (</w:t>
      </w:r>
      <w:r w:rsidRPr="00007910">
        <w:rPr>
          <w:rStyle w:val="fontstyle01"/>
          <w:rFonts w:ascii="Arial" w:hAnsi="Arial" w:cs="Arial"/>
        </w:rPr>
        <w:t>quantified</w:t>
      </w:r>
      <w:r w:rsidRPr="00007910" w:rsidR="00D27C93">
        <w:rPr>
          <w:rStyle w:val="fontstyle01"/>
          <w:rFonts w:ascii="Arial" w:hAnsi="Arial" w:cs="Arial"/>
        </w:rPr>
        <w:t>)</w:t>
      </w:r>
      <w:r w:rsidRPr="00007910">
        <w:rPr>
          <w:rStyle w:val="fontstyle01"/>
          <w:rFonts w:ascii="Arial" w:hAnsi="Arial" w:cs="Arial"/>
        </w:rPr>
        <w:t xml:space="preserve"> measure while survey</w:t>
      </w:r>
      <w:r w:rsidRPr="00007910" w:rsidR="00D27C93">
        <w:rPr>
          <w:rStyle w:val="fontstyle01"/>
          <w:rFonts w:ascii="Arial" w:hAnsi="Arial" w:cs="Arial"/>
        </w:rPr>
        <w:t>ed</w:t>
      </w:r>
      <w:r w:rsidRPr="00007910">
        <w:rPr>
          <w:rStyle w:val="fontstyle01"/>
          <w:rFonts w:ascii="Arial" w:hAnsi="Arial" w:cs="Arial"/>
        </w:rPr>
        <w:t xml:space="preserve"> sat</w:t>
      </w:r>
      <w:r w:rsidRPr="00007910" w:rsidR="00D27C93">
        <w:rPr>
          <w:rStyle w:val="fontstyle01"/>
          <w:rFonts w:ascii="Arial" w:hAnsi="Arial" w:cs="Arial"/>
        </w:rPr>
        <w:t>i</w:t>
      </w:r>
      <w:r w:rsidRPr="00007910">
        <w:rPr>
          <w:rStyle w:val="fontstyle01"/>
          <w:rFonts w:ascii="Arial" w:hAnsi="Arial" w:cs="Arial"/>
        </w:rPr>
        <w:t>sfaction with installation, reliability and flexib</w:t>
      </w:r>
      <w:r w:rsidRPr="00007910" w:rsidR="00D27C93">
        <w:rPr>
          <w:rStyle w:val="fontstyle01"/>
          <w:rFonts w:ascii="Arial" w:hAnsi="Arial" w:cs="Arial"/>
        </w:rPr>
        <w:t xml:space="preserve">ility </w:t>
      </w:r>
      <w:r w:rsidRPr="00007910" w:rsidR="00962F67">
        <w:rPr>
          <w:rStyle w:val="fontstyle01"/>
          <w:rFonts w:ascii="Arial" w:hAnsi="Arial" w:cs="Arial"/>
        </w:rPr>
        <w:t xml:space="preserve">may be a </w:t>
      </w:r>
      <w:r w:rsidRPr="00007910" w:rsidR="00D27C93">
        <w:rPr>
          <w:rStyle w:val="fontstyle01"/>
          <w:rFonts w:ascii="Arial" w:hAnsi="Arial" w:cs="Arial"/>
        </w:rPr>
        <w:t>(</w:t>
      </w:r>
      <w:r w:rsidRPr="00007910" w:rsidR="00962F67">
        <w:rPr>
          <w:rStyle w:val="fontstyle01"/>
          <w:rFonts w:ascii="Arial" w:hAnsi="Arial" w:cs="Arial"/>
        </w:rPr>
        <w:t>qualitative assessment</w:t>
      </w:r>
      <w:r w:rsidRPr="00007910" w:rsidR="00D27C93">
        <w:rPr>
          <w:rStyle w:val="fontstyle01"/>
          <w:rFonts w:ascii="Arial" w:hAnsi="Arial" w:cs="Arial"/>
        </w:rPr>
        <w:t>) measure</w:t>
      </w:r>
      <w:r w:rsidRPr="00007910" w:rsidR="00962F67">
        <w:rPr>
          <w:rStyle w:val="fontstyle01"/>
          <w:rFonts w:ascii="Arial" w:hAnsi="Arial" w:cs="Arial"/>
        </w:rPr>
        <w:t>.</w:t>
      </w:r>
    </w:p>
    <w:p w:rsidRPr="00007910" w:rsidR="00962F67" w:rsidP="00A75E2F" w:rsidRDefault="00962F67" w14:paraId="3BC56F0F" w14:textId="4D6445A2">
      <w:pPr>
        <w:pStyle w:val="ListParagraph"/>
        <w:ind w:left="0"/>
        <w:rPr>
          <w:rStyle w:val="fontstyle01"/>
          <w:rFonts w:ascii="Arial" w:hAnsi="Arial" w:cs="Arial"/>
        </w:rPr>
      </w:pPr>
    </w:p>
    <w:p w:rsidRPr="00007910" w:rsidR="005B1AB1" w:rsidP="00A75E2F" w:rsidRDefault="00962F67" w14:paraId="4F00EC7B" w14:textId="3F73EBF5">
      <w:pPr>
        <w:pStyle w:val="ListParagraph"/>
        <w:ind w:left="0"/>
        <w:jc w:val="both"/>
        <w:rPr>
          <w:rStyle w:val="fontstyle01"/>
          <w:rFonts w:ascii="Arial" w:hAnsi="Arial" w:cs="Arial"/>
        </w:rPr>
      </w:pPr>
      <w:r w:rsidRPr="00007910">
        <w:rPr>
          <w:rStyle w:val="fontstyle01"/>
          <w:rFonts w:ascii="Arial" w:hAnsi="Arial" w:cs="Arial"/>
        </w:rPr>
        <w:t>After an NWA solution is approved by PURA for implementation</w:t>
      </w:r>
      <w:r w:rsidR="00DB211C">
        <w:rPr>
          <w:rStyle w:val="fontstyle01"/>
          <w:rFonts w:ascii="Arial" w:hAnsi="Arial" w:cs="Arial"/>
        </w:rPr>
        <w:t>, t</w:t>
      </w:r>
      <w:r w:rsidRPr="00007910">
        <w:rPr>
          <w:rStyle w:val="fontstyle01"/>
          <w:rFonts w:ascii="Arial" w:hAnsi="Arial" w:cs="Arial"/>
        </w:rPr>
        <w:t xml:space="preserve">he </w:t>
      </w:r>
      <w:r w:rsidRPr="00007910" w:rsidR="00AB177F">
        <w:rPr>
          <w:rStyle w:val="fontstyle01"/>
          <w:rFonts w:ascii="Arial" w:hAnsi="Arial" w:cs="Arial"/>
        </w:rPr>
        <w:t>Third-Party Administrator</w:t>
      </w:r>
      <w:r w:rsidRPr="00007910" w:rsidR="00DA616F">
        <w:rPr>
          <w:rStyle w:val="fontstyle01"/>
          <w:rFonts w:ascii="Arial" w:hAnsi="Arial" w:cs="Arial"/>
        </w:rPr>
        <w:t>,</w:t>
      </w:r>
      <w:r w:rsidRPr="00007910" w:rsidR="00AB177F">
        <w:rPr>
          <w:rStyle w:val="fontstyle01"/>
          <w:rFonts w:ascii="Arial" w:hAnsi="Arial" w:cs="Arial"/>
        </w:rPr>
        <w:t xml:space="preserve"> in consultation with the </w:t>
      </w:r>
      <w:r w:rsidRPr="00007910">
        <w:rPr>
          <w:rStyle w:val="fontstyle01"/>
          <w:rFonts w:ascii="Arial" w:hAnsi="Arial" w:cs="Arial"/>
        </w:rPr>
        <w:t>EDCs</w:t>
      </w:r>
      <w:r w:rsidRPr="00007910" w:rsidR="00DA616F">
        <w:rPr>
          <w:rStyle w:val="fontstyle01"/>
          <w:rFonts w:ascii="Arial" w:hAnsi="Arial" w:cs="Arial"/>
        </w:rPr>
        <w:t>,</w:t>
      </w:r>
      <w:r w:rsidRPr="00007910">
        <w:rPr>
          <w:rStyle w:val="fontstyle01"/>
          <w:rFonts w:ascii="Arial" w:hAnsi="Arial" w:cs="Arial"/>
        </w:rPr>
        <w:t xml:space="preserve"> shall</w:t>
      </w:r>
      <w:r w:rsidRPr="00007910" w:rsidR="00171CC9">
        <w:rPr>
          <w:rStyle w:val="fontstyle01"/>
          <w:rFonts w:ascii="Arial" w:hAnsi="Arial" w:cs="Arial"/>
        </w:rPr>
        <w:t xml:space="preserve"> develop an </w:t>
      </w:r>
      <w:r w:rsidRPr="00007910" w:rsidR="00DA616F">
        <w:rPr>
          <w:rStyle w:val="fontstyle01"/>
          <w:rFonts w:ascii="Arial" w:hAnsi="Arial" w:cs="Arial"/>
        </w:rPr>
        <w:t>evaluation, measurement and verification (</w:t>
      </w:r>
      <w:r w:rsidRPr="00007910" w:rsidR="00171CC9">
        <w:rPr>
          <w:rStyle w:val="fontstyle01"/>
          <w:rFonts w:ascii="Arial" w:hAnsi="Arial" w:cs="Arial"/>
        </w:rPr>
        <w:t>EM&amp;V</w:t>
      </w:r>
      <w:r w:rsidRPr="00007910" w:rsidR="00DA616F">
        <w:rPr>
          <w:rStyle w:val="fontstyle01"/>
          <w:rFonts w:ascii="Arial" w:hAnsi="Arial" w:cs="Arial"/>
        </w:rPr>
        <w:t>)</w:t>
      </w:r>
      <w:r w:rsidRPr="00007910" w:rsidR="00171CC9">
        <w:rPr>
          <w:rStyle w:val="fontstyle01"/>
          <w:rFonts w:ascii="Arial" w:hAnsi="Arial" w:cs="Arial"/>
        </w:rPr>
        <w:t xml:space="preserve"> plan that is specif</w:t>
      </w:r>
      <w:r w:rsidR="00DB211C">
        <w:rPr>
          <w:rStyle w:val="fontstyle01"/>
          <w:rFonts w:ascii="Arial" w:hAnsi="Arial" w:cs="Arial"/>
        </w:rPr>
        <w:t>ic</w:t>
      </w:r>
      <w:r w:rsidRPr="00007910" w:rsidR="00171CC9">
        <w:rPr>
          <w:rStyle w:val="fontstyle01"/>
          <w:rFonts w:ascii="Arial" w:hAnsi="Arial" w:cs="Arial"/>
        </w:rPr>
        <w:t xml:space="preserve"> to each NWA. After consulting with the EDCs, </w:t>
      </w:r>
      <w:r w:rsidRPr="00007910" w:rsidR="00171CC9">
        <w:rPr>
          <w:rStyle w:val="fontstyle01"/>
          <w:rFonts w:ascii="Arial" w:hAnsi="Arial" w:cs="Arial"/>
        </w:rPr>
        <w:lastRenderedPageBreak/>
        <w:t>public stakeholders, and the entity carrying out the NWA, the Third-Party Administrator shall</w:t>
      </w:r>
      <w:r w:rsidRPr="00007910">
        <w:rPr>
          <w:rStyle w:val="fontstyle01"/>
          <w:rFonts w:ascii="Arial" w:hAnsi="Arial" w:cs="Arial"/>
        </w:rPr>
        <w:t xml:space="preserve"> </w:t>
      </w:r>
      <w:r w:rsidRPr="00007910" w:rsidR="00903F50">
        <w:rPr>
          <w:rStyle w:val="fontstyle01"/>
          <w:rFonts w:ascii="Arial" w:hAnsi="Arial" w:cs="Arial"/>
        </w:rPr>
        <w:t>submit an EM&amp;V plan</w:t>
      </w:r>
      <w:r w:rsidRPr="00007910" w:rsidR="005B1AB1">
        <w:rPr>
          <w:rStyle w:val="fontstyle01"/>
          <w:rFonts w:ascii="Arial" w:hAnsi="Arial" w:cs="Arial"/>
        </w:rPr>
        <w:t xml:space="preserve"> to the </w:t>
      </w:r>
      <w:r w:rsidRPr="00007910" w:rsidR="00171CC9">
        <w:rPr>
          <w:rStyle w:val="fontstyle01"/>
          <w:rFonts w:ascii="Arial" w:hAnsi="Arial" w:cs="Arial"/>
        </w:rPr>
        <w:t xml:space="preserve">Authority </w:t>
      </w:r>
      <w:r w:rsidRPr="00007910" w:rsidR="005B1AB1">
        <w:rPr>
          <w:rStyle w:val="fontstyle01"/>
          <w:rFonts w:ascii="Arial" w:hAnsi="Arial" w:cs="Arial"/>
        </w:rPr>
        <w:t>that contains the following elements:</w:t>
      </w:r>
    </w:p>
    <w:p w:rsidRPr="007F6D74" w:rsidR="669FE7B6" w:rsidP="669FE7B6" w:rsidRDefault="669FE7B6" w14:paraId="61FD2682" w14:textId="5DCBC1B1">
      <w:pPr>
        <w:pStyle w:val="ListParagraph"/>
        <w:ind w:left="0" w:firstLine="720"/>
        <w:rPr>
          <w:rStyle w:val="fontstyle01"/>
          <w:rFonts w:ascii="Arial" w:hAnsi="Arial" w:cs="Arial"/>
          <w:sz w:val="12"/>
          <w:szCs w:val="12"/>
        </w:rPr>
      </w:pPr>
    </w:p>
    <w:p w:rsidRPr="00007910" w:rsidR="669FE7B6" w:rsidP="00211D37" w:rsidRDefault="0FE8E2DB" w14:paraId="2E6483DC" w14:textId="672BE488">
      <w:pPr>
        <w:pStyle w:val="ListParagraph"/>
        <w:numPr>
          <w:ilvl w:val="1"/>
          <w:numId w:val="12"/>
        </w:numPr>
        <w:rPr>
          <w:rStyle w:val="fontstyle01"/>
          <w:rFonts w:ascii="Arial" w:hAnsi="Arial" w:cs="Arial" w:eastAsiaTheme="minorEastAsia"/>
          <w:color w:val="000000" w:themeColor="text1"/>
        </w:rPr>
      </w:pPr>
      <w:r w:rsidRPr="00007910">
        <w:rPr>
          <w:rStyle w:val="fontstyle01"/>
          <w:rFonts w:ascii="Arial" w:hAnsi="Arial" w:cs="Arial" w:eastAsiaTheme="minorEastAsia"/>
          <w:color w:val="000000" w:themeColor="text1"/>
        </w:rPr>
        <w:t>NWA system costs projected and actual, including CAPEX and OPEX, any soft costs</w:t>
      </w:r>
      <w:r w:rsidRPr="00007910" w:rsidR="3FBBFA24">
        <w:rPr>
          <w:rStyle w:val="fontstyle01"/>
          <w:rFonts w:ascii="Arial" w:hAnsi="Arial" w:cs="Arial" w:eastAsiaTheme="minorEastAsia"/>
          <w:color w:val="000000" w:themeColor="text1"/>
        </w:rPr>
        <w:t xml:space="preserve"> such as permitting</w:t>
      </w:r>
      <w:r w:rsidRPr="00007910">
        <w:rPr>
          <w:rStyle w:val="fontstyle01"/>
          <w:rFonts w:ascii="Arial" w:hAnsi="Arial" w:cs="Arial" w:eastAsiaTheme="minorEastAsia"/>
          <w:color w:val="000000" w:themeColor="text1"/>
        </w:rPr>
        <w:t>,</w:t>
      </w:r>
      <w:r w:rsidRPr="00007910" w:rsidR="0B86BF22">
        <w:rPr>
          <w:rStyle w:val="fontstyle01"/>
          <w:rFonts w:ascii="Arial" w:hAnsi="Arial" w:cs="Arial" w:eastAsiaTheme="minorEastAsia"/>
          <w:color w:val="000000" w:themeColor="text1"/>
        </w:rPr>
        <w:t xml:space="preserve"> lease</w:t>
      </w:r>
      <w:r w:rsidRPr="00007910">
        <w:rPr>
          <w:rStyle w:val="fontstyle01"/>
          <w:rFonts w:ascii="Arial" w:hAnsi="Arial" w:cs="Arial" w:eastAsiaTheme="minorEastAsia"/>
          <w:color w:val="000000" w:themeColor="text1"/>
        </w:rPr>
        <w:t xml:space="preserve"> </w:t>
      </w:r>
      <w:r w:rsidRPr="00007910" w:rsidR="6DC618EA">
        <w:rPr>
          <w:rStyle w:val="fontstyle01"/>
          <w:rFonts w:ascii="Arial" w:hAnsi="Arial" w:cs="Arial" w:eastAsiaTheme="minorEastAsia"/>
          <w:color w:val="000000" w:themeColor="text1"/>
        </w:rPr>
        <w:t>payments</w:t>
      </w:r>
      <w:r w:rsidRPr="00007910">
        <w:rPr>
          <w:rStyle w:val="fontstyle01"/>
          <w:rFonts w:ascii="Arial" w:hAnsi="Arial" w:cs="Arial" w:eastAsiaTheme="minorEastAsia"/>
          <w:color w:val="000000" w:themeColor="text1"/>
        </w:rPr>
        <w:t>, interconnection a</w:t>
      </w:r>
      <w:r w:rsidRPr="00007910" w:rsidR="5478C230">
        <w:rPr>
          <w:rStyle w:val="fontstyle01"/>
          <w:rFonts w:ascii="Arial" w:hAnsi="Arial" w:cs="Arial" w:eastAsiaTheme="minorEastAsia"/>
          <w:color w:val="000000" w:themeColor="text1"/>
        </w:rPr>
        <w:t xml:space="preserve">nd utility upgrade </w:t>
      </w:r>
      <w:proofErr w:type="gramStart"/>
      <w:r w:rsidRPr="00007910" w:rsidR="5478C230">
        <w:rPr>
          <w:rStyle w:val="fontstyle01"/>
          <w:rFonts w:ascii="Arial" w:hAnsi="Arial" w:cs="Arial" w:eastAsiaTheme="minorEastAsia"/>
          <w:color w:val="000000" w:themeColor="text1"/>
        </w:rPr>
        <w:t>costs</w:t>
      </w:r>
      <w:r w:rsidRPr="00007910" w:rsidR="006D441A">
        <w:rPr>
          <w:rStyle w:val="fontstyle01"/>
          <w:rFonts w:ascii="Arial" w:hAnsi="Arial" w:cs="Arial" w:eastAsiaTheme="minorEastAsia"/>
          <w:color w:val="000000" w:themeColor="text1"/>
        </w:rPr>
        <w:t>;</w:t>
      </w:r>
      <w:proofErr w:type="gramEnd"/>
    </w:p>
    <w:p w:rsidRPr="00007910" w:rsidR="00B27A61" w:rsidP="00211D37" w:rsidRDefault="5478C230" w14:paraId="38F14A6B" w14:textId="19EB15FE">
      <w:pPr>
        <w:pStyle w:val="ListParagraph"/>
        <w:numPr>
          <w:ilvl w:val="1"/>
          <w:numId w:val="12"/>
        </w:numPr>
        <w:rPr>
          <w:rStyle w:val="fontstyle01"/>
          <w:rFonts w:ascii="Arial" w:hAnsi="Arial" w:cs="Arial"/>
          <w:color w:val="000000" w:themeColor="text1"/>
        </w:rPr>
      </w:pPr>
      <w:r w:rsidRPr="00007910">
        <w:rPr>
          <w:rStyle w:val="fontstyle01"/>
          <w:rFonts w:ascii="Arial" w:hAnsi="Arial" w:cs="Arial" w:eastAsiaTheme="minorEastAsia"/>
          <w:color w:val="000000" w:themeColor="text1"/>
        </w:rPr>
        <w:t xml:space="preserve">Projected and actual commercial operation </w:t>
      </w:r>
      <w:proofErr w:type="gramStart"/>
      <w:r w:rsidRPr="00007910">
        <w:rPr>
          <w:rStyle w:val="fontstyle01"/>
          <w:rFonts w:ascii="Arial" w:hAnsi="Arial" w:cs="Arial" w:eastAsiaTheme="minorEastAsia"/>
          <w:color w:val="000000" w:themeColor="text1"/>
        </w:rPr>
        <w:t>data</w:t>
      </w:r>
      <w:r w:rsidRPr="00007910" w:rsidR="006D441A">
        <w:rPr>
          <w:rStyle w:val="fontstyle01"/>
          <w:rFonts w:ascii="Arial" w:hAnsi="Arial" w:cs="Arial" w:eastAsiaTheme="minorEastAsia"/>
          <w:color w:val="000000" w:themeColor="text1"/>
        </w:rPr>
        <w:t>;</w:t>
      </w:r>
      <w:proofErr w:type="gramEnd"/>
    </w:p>
    <w:p w:rsidRPr="00007910" w:rsidR="0005462A" w:rsidP="00211D37" w:rsidRDefault="408B8DFB" w14:paraId="6A8F3E69" w14:textId="5D2FE7C0">
      <w:pPr>
        <w:pStyle w:val="ListParagraph"/>
        <w:numPr>
          <w:ilvl w:val="1"/>
          <w:numId w:val="12"/>
        </w:numPr>
        <w:rPr>
          <w:rStyle w:val="fontstyle01"/>
          <w:rFonts w:ascii="Arial" w:hAnsi="Arial" w:cs="Arial"/>
          <w:color w:val="000000" w:themeColor="text1"/>
        </w:rPr>
      </w:pPr>
      <w:r w:rsidRPr="00007910">
        <w:rPr>
          <w:rStyle w:val="fontstyle01"/>
          <w:rFonts w:ascii="Arial" w:hAnsi="Arial" w:cs="Arial" w:eastAsiaTheme="minorEastAsia"/>
          <w:color w:val="000000" w:themeColor="text1"/>
        </w:rPr>
        <w:t xml:space="preserve">Projected and actual run-time, durations for the NWA </w:t>
      </w:r>
      <w:r w:rsidRPr="00007910" w:rsidR="17B7B3BD">
        <w:rPr>
          <w:rStyle w:val="fontstyle01"/>
          <w:rFonts w:ascii="Arial" w:hAnsi="Arial" w:cs="Arial" w:eastAsiaTheme="minorEastAsia"/>
          <w:color w:val="000000" w:themeColor="text1"/>
        </w:rPr>
        <w:t>elements, by element and together</w:t>
      </w:r>
      <w:r w:rsidRPr="00007910" w:rsidR="176505E0">
        <w:rPr>
          <w:rStyle w:val="fontstyle01"/>
          <w:rFonts w:ascii="Arial" w:hAnsi="Arial" w:cs="Arial" w:eastAsiaTheme="minorEastAsia"/>
          <w:color w:val="000000" w:themeColor="text1"/>
        </w:rPr>
        <w:t xml:space="preserve"> on </w:t>
      </w:r>
      <w:r w:rsidRPr="00007910" w:rsidR="72FD1C4B">
        <w:rPr>
          <w:rStyle w:val="fontstyle01"/>
          <w:rFonts w:ascii="Arial" w:hAnsi="Arial" w:cs="Arial" w:eastAsiaTheme="minorEastAsia"/>
          <w:color w:val="000000" w:themeColor="text1"/>
        </w:rPr>
        <w:t>an hourly or sub</w:t>
      </w:r>
      <w:r w:rsidR="00DB211C">
        <w:rPr>
          <w:rStyle w:val="fontstyle01"/>
          <w:rFonts w:ascii="Arial" w:hAnsi="Arial" w:cs="Arial" w:eastAsiaTheme="minorEastAsia"/>
          <w:color w:val="000000" w:themeColor="text1"/>
        </w:rPr>
        <w:t>-</w:t>
      </w:r>
      <w:r w:rsidRPr="00007910" w:rsidR="72FD1C4B">
        <w:rPr>
          <w:rStyle w:val="fontstyle01"/>
          <w:rFonts w:ascii="Arial" w:hAnsi="Arial" w:cs="Arial" w:eastAsiaTheme="minorEastAsia"/>
          <w:color w:val="000000" w:themeColor="text1"/>
        </w:rPr>
        <w:t xml:space="preserve">hourly </w:t>
      </w:r>
      <w:proofErr w:type="gramStart"/>
      <w:r w:rsidRPr="00007910" w:rsidR="72FD1C4B">
        <w:rPr>
          <w:rStyle w:val="fontstyle01"/>
          <w:rFonts w:ascii="Arial" w:hAnsi="Arial" w:cs="Arial" w:eastAsiaTheme="minorEastAsia"/>
          <w:color w:val="000000" w:themeColor="text1"/>
        </w:rPr>
        <w:t>basis</w:t>
      </w:r>
      <w:r w:rsidRPr="00007910" w:rsidR="006D441A">
        <w:rPr>
          <w:rStyle w:val="fontstyle01"/>
          <w:rFonts w:ascii="Arial" w:hAnsi="Arial" w:cs="Arial" w:eastAsiaTheme="minorEastAsia"/>
          <w:color w:val="000000" w:themeColor="text1"/>
        </w:rPr>
        <w:t>;</w:t>
      </w:r>
      <w:proofErr w:type="gramEnd"/>
    </w:p>
    <w:p w:rsidRPr="00007910" w:rsidR="0005462A" w:rsidP="00612376" w:rsidRDefault="17B7B3BD" w14:paraId="64A7ADE6" w14:textId="7BFAA33A">
      <w:pPr>
        <w:pStyle w:val="ListParagraph"/>
        <w:numPr>
          <w:ilvl w:val="1"/>
          <w:numId w:val="12"/>
        </w:numPr>
        <w:rPr>
          <w:rStyle w:val="fontstyle01"/>
          <w:rFonts w:ascii="Arial" w:hAnsi="Arial" w:cs="Arial" w:eastAsiaTheme="minorEastAsia"/>
          <w:color w:val="000000" w:themeColor="text1"/>
        </w:rPr>
      </w:pPr>
      <w:r w:rsidRPr="00007910">
        <w:rPr>
          <w:rStyle w:val="fontstyle01"/>
          <w:rFonts w:ascii="Arial" w:hAnsi="Arial" w:cs="Arial" w:eastAsiaTheme="minorEastAsia"/>
          <w:color w:val="000000" w:themeColor="text1"/>
        </w:rPr>
        <w:t>Type(s) and operational data on energy management systems, controls and/or</w:t>
      </w:r>
      <w:r w:rsidRPr="00007910" w:rsidR="00D01F75">
        <w:rPr>
          <w:rStyle w:val="fontstyle01"/>
          <w:rFonts w:ascii="Arial" w:hAnsi="Arial" w:cs="Arial" w:eastAsiaTheme="minorEastAsia"/>
          <w:color w:val="000000" w:themeColor="text1"/>
        </w:rPr>
        <w:t xml:space="preserve"> </w:t>
      </w:r>
      <w:r w:rsidRPr="00007910">
        <w:rPr>
          <w:rStyle w:val="fontstyle01"/>
          <w:rFonts w:ascii="Arial" w:hAnsi="Arial" w:cs="Arial" w:eastAsiaTheme="minorEastAsia"/>
          <w:color w:val="000000" w:themeColor="text1"/>
        </w:rPr>
        <w:t xml:space="preserve">dispatch associated with the </w:t>
      </w:r>
      <w:proofErr w:type="gramStart"/>
      <w:r w:rsidRPr="00007910">
        <w:rPr>
          <w:rStyle w:val="fontstyle01"/>
          <w:rFonts w:ascii="Arial" w:hAnsi="Arial" w:cs="Arial" w:eastAsiaTheme="minorEastAsia"/>
          <w:color w:val="000000" w:themeColor="text1"/>
        </w:rPr>
        <w:t>NWA</w:t>
      </w:r>
      <w:r w:rsidRPr="00007910" w:rsidR="006D441A">
        <w:rPr>
          <w:rStyle w:val="fontstyle01"/>
          <w:rFonts w:ascii="Arial" w:hAnsi="Arial" w:cs="Arial" w:eastAsiaTheme="minorEastAsia"/>
          <w:color w:val="000000" w:themeColor="text1"/>
        </w:rPr>
        <w:t>;</w:t>
      </w:r>
      <w:proofErr w:type="gramEnd"/>
    </w:p>
    <w:p w:rsidRPr="00007910" w:rsidR="00E9165E" w:rsidP="00612376" w:rsidRDefault="22602131" w14:paraId="3DBE0D6C" w14:textId="5954DB02">
      <w:pPr>
        <w:pStyle w:val="ListParagraph"/>
        <w:numPr>
          <w:ilvl w:val="1"/>
          <w:numId w:val="12"/>
        </w:numPr>
        <w:rPr>
          <w:rStyle w:val="fontstyle01"/>
          <w:rFonts w:ascii="Arial" w:hAnsi="Arial" w:cs="Arial"/>
          <w:color w:val="000000" w:themeColor="text1"/>
        </w:rPr>
      </w:pPr>
      <w:r w:rsidRPr="00007910">
        <w:rPr>
          <w:rStyle w:val="fontstyle01"/>
          <w:rFonts w:ascii="Arial" w:hAnsi="Arial" w:cs="Arial" w:eastAsiaTheme="minorEastAsia"/>
          <w:color w:val="000000" w:themeColor="text1"/>
        </w:rPr>
        <w:t>Financial data on project return, capital in rate base or investor by third parties, cost recovery (may be filed as confidential data by third parties</w:t>
      </w:r>
      <w:proofErr w:type="gramStart"/>
      <w:r w:rsidRPr="00007910">
        <w:rPr>
          <w:rStyle w:val="fontstyle01"/>
          <w:rFonts w:ascii="Arial" w:hAnsi="Arial" w:cs="Arial" w:eastAsiaTheme="minorEastAsia"/>
          <w:color w:val="000000" w:themeColor="text1"/>
        </w:rPr>
        <w:t>)</w:t>
      </w:r>
      <w:r w:rsidRPr="00007910" w:rsidR="006D441A">
        <w:rPr>
          <w:rStyle w:val="fontstyle01"/>
          <w:rFonts w:ascii="Arial" w:hAnsi="Arial" w:cs="Arial" w:eastAsiaTheme="minorEastAsia"/>
          <w:color w:val="000000" w:themeColor="text1"/>
        </w:rPr>
        <w:t>;</w:t>
      </w:r>
      <w:proofErr w:type="gramEnd"/>
    </w:p>
    <w:p w:rsidRPr="00007910" w:rsidR="009E7BB5" w:rsidP="00612376" w:rsidRDefault="3045153E" w14:paraId="4D9101B1" w14:textId="2762CE25">
      <w:pPr>
        <w:pStyle w:val="ListParagraph"/>
        <w:numPr>
          <w:ilvl w:val="1"/>
          <w:numId w:val="12"/>
        </w:numPr>
        <w:rPr>
          <w:rStyle w:val="fontstyle01"/>
          <w:rFonts w:ascii="Arial" w:hAnsi="Arial" w:cs="Arial"/>
          <w:color w:val="000000" w:themeColor="text1"/>
        </w:rPr>
      </w:pPr>
      <w:r w:rsidRPr="00007910">
        <w:rPr>
          <w:rStyle w:val="fontstyle01"/>
          <w:rFonts w:ascii="Arial" w:hAnsi="Arial" w:cs="Arial" w:eastAsiaTheme="minorEastAsia"/>
          <w:color w:val="000000" w:themeColor="text1"/>
        </w:rPr>
        <w:t>For projects involving customer participation, infor</w:t>
      </w:r>
      <w:r w:rsidRPr="00007910" w:rsidR="45626CDA">
        <w:rPr>
          <w:rStyle w:val="fontstyle01"/>
          <w:rFonts w:ascii="Arial" w:hAnsi="Arial" w:cs="Arial" w:eastAsiaTheme="minorEastAsia"/>
          <w:color w:val="000000" w:themeColor="text1"/>
        </w:rPr>
        <w:t>m</w:t>
      </w:r>
      <w:r w:rsidRPr="00007910">
        <w:rPr>
          <w:rStyle w:val="fontstyle01"/>
          <w:rFonts w:ascii="Arial" w:hAnsi="Arial" w:cs="Arial" w:eastAsiaTheme="minorEastAsia"/>
          <w:color w:val="000000" w:themeColor="text1"/>
        </w:rPr>
        <w:t>ation on customer participation and customer value measures and metrics</w:t>
      </w:r>
      <w:r w:rsidRPr="00007910" w:rsidR="5D3818ED">
        <w:rPr>
          <w:rStyle w:val="fontstyle01"/>
          <w:rFonts w:ascii="Arial" w:hAnsi="Arial" w:cs="Arial" w:eastAsiaTheme="minorEastAsia"/>
          <w:color w:val="000000" w:themeColor="text1"/>
        </w:rPr>
        <w:t xml:space="preserve"> including measures of customer resilience and value when the grid is down as </w:t>
      </w:r>
      <w:proofErr w:type="gramStart"/>
      <w:r w:rsidRPr="00007910" w:rsidR="5D3818ED">
        <w:rPr>
          <w:rStyle w:val="fontstyle01"/>
          <w:rFonts w:ascii="Arial" w:hAnsi="Arial" w:cs="Arial" w:eastAsiaTheme="minorEastAsia"/>
          <w:color w:val="000000" w:themeColor="text1"/>
        </w:rPr>
        <w:t>applicable</w:t>
      </w:r>
      <w:r w:rsidRPr="00007910" w:rsidR="006D441A">
        <w:rPr>
          <w:rStyle w:val="fontstyle01"/>
          <w:rFonts w:ascii="Arial" w:hAnsi="Arial" w:cs="Arial" w:eastAsiaTheme="minorEastAsia"/>
          <w:color w:val="000000" w:themeColor="text1"/>
        </w:rPr>
        <w:t>;</w:t>
      </w:r>
      <w:proofErr w:type="gramEnd"/>
    </w:p>
    <w:p w:rsidRPr="00007910" w:rsidR="009E7BB5" w:rsidP="00612376" w:rsidRDefault="511E9F7C" w14:paraId="1C063A11" w14:textId="148B22EF">
      <w:pPr>
        <w:pStyle w:val="ListParagraph"/>
        <w:numPr>
          <w:ilvl w:val="1"/>
          <w:numId w:val="12"/>
        </w:numPr>
        <w:rPr>
          <w:rStyle w:val="fontstyle01"/>
          <w:rFonts w:ascii="Arial" w:hAnsi="Arial" w:cs="Arial"/>
          <w:color w:val="000000" w:themeColor="text1"/>
        </w:rPr>
      </w:pPr>
      <w:r w:rsidRPr="00007910">
        <w:rPr>
          <w:rStyle w:val="fontstyle01"/>
          <w:rFonts w:ascii="Arial" w:hAnsi="Arial" w:cs="Arial" w:eastAsiaTheme="minorEastAsia"/>
          <w:color w:val="000000" w:themeColor="text1"/>
        </w:rPr>
        <w:t xml:space="preserve">Any revenue including wholesale market and utility revenue requirement revenues to the </w:t>
      </w:r>
      <w:proofErr w:type="gramStart"/>
      <w:r w:rsidRPr="00007910">
        <w:rPr>
          <w:rStyle w:val="fontstyle01"/>
          <w:rFonts w:ascii="Arial" w:hAnsi="Arial" w:cs="Arial" w:eastAsiaTheme="minorEastAsia"/>
          <w:color w:val="000000" w:themeColor="text1"/>
        </w:rPr>
        <w:t>project</w:t>
      </w:r>
      <w:r w:rsidRPr="00007910" w:rsidR="006D441A">
        <w:rPr>
          <w:rStyle w:val="fontstyle01"/>
          <w:rFonts w:ascii="Arial" w:hAnsi="Arial" w:cs="Arial" w:eastAsiaTheme="minorEastAsia"/>
          <w:color w:val="000000" w:themeColor="text1"/>
        </w:rPr>
        <w:t>;</w:t>
      </w:r>
      <w:proofErr w:type="gramEnd"/>
    </w:p>
    <w:p w:rsidRPr="00007910" w:rsidR="009E7BB5" w:rsidP="00612376" w:rsidRDefault="511E9F7C" w14:paraId="1593A4C1" w14:textId="38C7D4DC">
      <w:pPr>
        <w:pStyle w:val="ListParagraph"/>
        <w:numPr>
          <w:ilvl w:val="1"/>
          <w:numId w:val="12"/>
        </w:numPr>
        <w:rPr>
          <w:rStyle w:val="fontstyle01"/>
          <w:rFonts w:ascii="Arial" w:hAnsi="Arial" w:cs="Arial"/>
          <w:color w:val="000000" w:themeColor="text1"/>
        </w:rPr>
      </w:pPr>
      <w:r w:rsidRPr="00007910">
        <w:rPr>
          <w:rStyle w:val="fontstyle01"/>
          <w:rFonts w:ascii="Arial" w:hAnsi="Arial" w:cs="Arial" w:eastAsiaTheme="minorEastAsia"/>
          <w:color w:val="000000" w:themeColor="text1"/>
        </w:rPr>
        <w:t xml:space="preserve">Reporting measures and metrics on the distribution system need addressed by the project and evaluation of meeting that </w:t>
      </w:r>
      <w:proofErr w:type="gramStart"/>
      <w:r w:rsidRPr="00007910">
        <w:rPr>
          <w:rStyle w:val="fontstyle01"/>
          <w:rFonts w:ascii="Arial" w:hAnsi="Arial" w:cs="Arial" w:eastAsiaTheme="minorEastAsia"/>
          <w:color w:val="000000" w:themeColor="text1"/>
        </w:rPr>
        <w:t>need</w:t>
      </w:r>
      <w:r w:rsidRPr="00007910" w:rsidR="006D441A">
        <w:rPr>
          <w:rStyle w:val="fontstyle01"/>
          <w:rFonts w:ascii="Arial" w:hAnsi="Arial" w:cs="Arial" w:eastAsiaTheme="minorEastAsia"/>
          <w:color w:val="000000" w:themeColor="text1"/>
        </w:rPr>
        <w:t>;</w:t>
      </w:r>
      <w:proofErr w:type="gramEnd"/>
    </w:p>
    <w:p w:rsidRPr="00007910" w:rsidR="009E7BB5" w:rsidP="00612376" w:rsidRDefault="1B908CFD" w14:paraId="08A44B74" w14:textId="653DD1F0">
      <w:pPr>
        <w:pStyle w:val="ListParagraph"/>
        <w:numPr>
          <w:ilvl w:val="1"/>
          <w:numId w:val="12"/>
        </w:numPr>
        <w:rPr>
          <w:rStyle w:val="fontstyle01"/>
          <w:rFonts w:ascii="Arial" w:hAnsi="Arial" w:cs="Arial"/>
          <w:color w:val="000000" w:themeColor="text1"/>
        </w:rPr>
      </w:pPr>
      <w:r w:rsidRPr="00007910">
        <w:rPr>
          <w:rStyle w:val="fontstyle01"/>
          <w:rFonts w:ascii="Arial" w:hAnsi="Arial" w:cs="Arial" w:eastAsiaTheme="minorEastAsia"/>
          <w:color w:val="000000" w:themeColor="text1"/>
        </w:rPr>
        <w:t xml:space="preserve">Peak demand reductions for each </w:t>
      </w:r>
      <w:proofErr w:type="gramStart"/>
      <w:r w:rsidRPr="00007910">
        <w:rPr>
          <w:rStyle w:val="fontstyle01"/>
          <w:rFonts w:ascii="Arial" w:hAnsi="Arial" w:cs="Arial" w:eastAsiaTheme="minorEastAsia"/>
          <w:color w:val="000000" w:themeColor="text1"/>
        </w:rPr>
        <w:t>event</w:t>
      </w:r>
      <w:r w:rsidRPr="00007910" w:rsidR="006D441A">
        <w:rPr>
          <w:rStyle w:val="fontstyle01"/>
          <w:rFonts w:ascii="Arial" w:hAnsi="Arial" w:cs="Arial" w:eastAsiaTheme="minorEastAsia"/>
          <w:color w:val="000000" w:themeColor="text1"/>
        </w:rPr>
        <w:t>;</w:t>
      </w:r>
      <w:proofErr w:type="gramEnd"/>
    </w:p>
    <w:p w:rsidRPr="00007910" w:rsidR="00612376" w:rsidP="00612376" w:rsidRDefault="1B908CFD" w14:paraId="0E6FC4E2" w14:textId="0FABD21C">
      <w:pPr>
        <w:pStyle w:val="ListParagraph"/>
        <w:numPr>
          <w:ilvl w:val="1"/>
          <w:numId w:val="12"/>
        </w:numPr>
        <w:rPr>
          <w:rStyle w:val="fontstyle01"/>
          <w:rFonts w:ascii="Arial" w:hAnsi="Arial" w:cs="Arial" w:eastAsiaTheme="minorEastAsia"/>
          <w:color w:val="000000" w:themeColor="text1"/>
        </w:rPr>
      </w:pPr>
      <w:r w:rsidRPr="00007910">
        <w:rPr>
          <w:rStyle w:val="fontstyle01"/>
          <w:rFonts w:ascii="Arial" w:hAnsi="Arial" w:cs="Arial" w:eastAsiaTheme="minorEastAsia"/>
          <w:color w:val="000000" w:themeColor="text1"/>
        </w:rPr>
        <w:t xml:space="preserve">Any zonal capacity or transmission reductions under the ISO-NE </w:t>
      </w:r>
      <w:proofErr w:type="gramStart"/>
      <w:r w:rsidRPr="00007910">
        <w:rPr>
          <w:rStyle w:val="fontstyle01"/>
          <w:rFonts w:ascii="Arial" w:hAnsi="Arial" w:cs="Arial" w:eastAsiaTheme="minorEastAsia"/>
          <w:color w:val="000000" w:themeColor="text1"/>
        </w:rPr>
        <w:t>tariff</w:t>
      </w:r>
      <w:r w:rsidRPr="00007910" w:rsidR="006D441A">
        <w:rPr>
          <w:rStyle w:val="fontstyle01"/>
          <w:rFonts w:ascii="Arial" w:hAnsi="Arial" w:cs="Arial" w:eastAsiaTheme="minorEastAsia"/>
          <w:color w:val="000000" w:themeColor="text1"/>
        </w:rPr>
        <w:t>;</w:t>
      </w:r>
      <w:proofErr w:type="gramEnd"/>
    </w:p>
    <w:p w:rsidRPr="00007910" w:rsidR="00612376" w:rsidP="00612376" w:rsidRDefault="1B908CFD" w14:paraId="4D4A68D7" w14:textId="4DA8418E">
      <w:pPr>
        <w:pStyle w:val="ListParagraph"/>
        <w:numPr>
          <w:ilvl w:val="1"/>
          <w:numId w:val="12"/>
        </w:numPr>
        <w:rPr>
          <w:rStyle w:val="fontstyle01"/>
          <w:rFonts w:ascii="Arial" w:hAnsi="Arial" w:cs="Arial" w:eastAsiaTheme="minorEastAsia"/>
          <w:color w:val="000000" w:themeColor="text1"/>
        </w:rPr>
      </w:pPr>
      <w:r w:rsidRPr="00007910">
        <w:rPr>
          <w:rStyle w:val="fontstyle01"/>
          <w:rFonts w:ascii="Arial" w:hAnsi="Arial" w:cs="Arial" w:eastAsiaTheme="minorEastAsia"/>
          <w:color w:val="000000" w:themeColor="text1"/>
        </w:rPr>
        <w:t xml:space="preserve">Public health </w:t>
      </w:r>
      <w:proofErr w:type="gramStart"/>
      <w:r w:rsidRPr="00007910">
        <w:rPr>
          <w:rStyle w:val="fontstyle01"/>
          <w:rFonts w:ascii="Arial" w:hAnsi="Arial" w:cs="Arial" w:eastAsiaTheme="minorEastAsia"/>
          <w:color w:val="000000" w:themeColor="text1"/>
        </w:rPr>
        <w:t>benefits</w:t>
      </w:r>
      <w:r w:rsidRPr="00007910" w:rsidR="006D441A">
        <w:rPr>
          <w:rStyle w:val="fontstyle01"/>
          <w:rFonts w:ascii="Arial" w:hAnsi="Arial" w:cs="Arial" w:eastAsiaTheme="minorEastAsia"/>
          <w:color w:val="000000" w:themeColor="text1"/>
        </w:rPr>
        <w:t>;</w:t>
      </w:r>
      <w:proofErr w:type="gramEnd"/>
    </w:p>
    <w:p w:rsidRPr="00007910" w:rsidR="00612376" w:rsidP="00612376" w:rsidRDefault="1B908CFD" w14:paraId="73E56092" w14:textId="11DA911C">
      <w:pPr>
        <w:pStyle w:val="ListParagraph"/>
        <w:numPr>
          <w:ilvl w:val="1"/>
          <w:numId w:val="12"/>
        </w:numPr>
        <w:rPr>
          <w:rStyle w:val="fontstyle01"/>
          <w:rFonts w:ascii="Arial" w:hAnsi="Arial" w:cs="Arial" w:eastAsiaTheme="minorEastAsia"/>
          <w:color w:val="000000" w:themeColor="text1"/>
        </w:rPr>
      </w:pPr>
      <w:r w:rsidRPr="00007910">
        <w:rPr>
          <w:rStyle w:val="fontstyle01"/>
          <w:rFonts w:ascii="Arial" w:hAnsi="Arial" w:cs="Arial" w:eastAsiaTheme="minorEastAsia"/>
          <w:color w:val="000000" w:themeColor="text1"/>
        </w:rPr>
        <w:t>Reductions or increases in emissions</w:t>
      </w:r>
      <w:r w:rsidRPr="00007910" w:rsidR="58441BAC">
        <w:rPr>
          <w:rStyle w:val="fontstyle01"/>
          <w:rFonts w:ascii="Arial" w:hAnsi="Arial" w:cs="Arial" w:eastAsiaTheme="minorEastAsia"/>
          <w:color w:val="000000" w:themeColor="text1"/>
        </w:rPr>
        <w:t xml:space="preserve"> of NOx, PM 2.5, and </w:t>
      </w:r>
      <w:proofErr w:type="gramStart"/>
      <w:r w:rsidRPr="00007910" w:rsidR="58441BAC">
        <w:rPr>
          <w:rStyle w:val="fontstyle01"/>
          <w:rFonts w:ascii="Arial" w:hAnsi="Arial" w:cs="Arial" w:eastAsiaTheme="minorEastAsia"/>
          <w:color w:val="000000" w:themeColor="text1"/>
        </w:rPr>
        <w:t>CO</w:t>
      </w:r>
      <w:r w:rsidRPr="00A75E2F" w:rsidR="58441BAC">
        <w:rPr>
          <w:rStyle w:val="fontstyle01"/>
          <w:rFonts w:ascii="Arial" w:hAnsi="Arial" w:cs="Arial" w:eastAsiaTheme="minorEastAsia"/>
          <w:color w:val="000000" w:themeColor="text1"/>
          <w:vertAlign w:val="subscript"/>
        </w:rPr>
        <w:t>2</w:t>
      </w:r>
      <w:r w:rsidRPr="00007910" w:rsidR="006D441A">
        <w:rPr>
          <w:rStyle w:val="fontstyle01"/>
          <w:rFonts w:ascii="Arial" w:hAnsi="Arial" w:cs="Arial" w:eastAsiaTheme="minorEastAsia"/>
          <w:color w:val="000000" w:themeColor="text1"/>
        </w:rPr>
        <w:t>;</w:t>
      </w:r>
      <w:proofErr w:type="gramEnd"/>
    </w:p>
    <w:p w:rsidRPr="00007910" w:rsidR="0008268A" w:rsidP="0008268A" w:rsidRDefault="1B908CFD" w14:paraId="6B35D995" w14:textId="38A66014">
      <w:pPr>
        <w:pStyle w:val="ListParagraph"/>
        <w:numPr>
          <w:ilvl w:val="1"/>
          <w:numId w:val="12"/>
        </w:numPr>
        <w:rPr>
          <w:rStyle w:val="fontstyle01"/>
          <w:rFonts w:ascii="Arial" w:hAnsi="Arial" w:cs="Arial" w:eastAsiaTheme="minorEastAsia"/>
          <w:color w:val="000000" w:themeColor="text1"/>
        </w:rPr>
      </w:pPr>
      <w:r w:rsidRPr="00007910">
        <w:rPr>
          <w:rStyle w:val="fontstyle01"/>
          <w:rFonts w:ascii="Arial" w:hAnsi="Arial" w:cs="Arial" w:eastAsiaTheme="minorEastAsia"/>
          <w:color w:val="000000" w:themeColor="text1"/>
        </w:rPr>
        <w:t xml:space="preserve">Any impacts on distributed generation hosting </w:t>
      </w:r>
      <w:proofErr w:type="gramStart"/>
      <w:r w:rsidRPr="00007910">
        <w:rPr>
          <w:rStyle w:val="fontstyle01"/>
          <w:rFonts w:ascii="Arial" w:hAnsi="Arial" w:cs="Arial" w:eastAsiaTheme="minorEastAsia"/>
          <w:color w:val="000000" w:themeColor="text1"/>
        </w:rPr>
        <w:t>capacity</w:t>
      </w:r>
      <w:r w:rsidRPr="00007910" w:rsidR="006D441A">
        <w:rPr>
          <w:rStyle w:val="fontstyle01"/>
          <w:rFonts w:ascii="Arial" w:hAnsi="Arial" w:cs="Arial" w:eastAsiaTheme="minorEastAsia"/>
          <w:color w:val="000000" w:themeColor="text1"/>
        </w:rPr>
        <w:t>;</w:t>
      </w:r>
      <w:proofErr w:type="gramEnd"/>
    </w:p>
    <w:p w:rsidRPr="00007910" w:rsidR="00303DAE" w:rsidP="0008268A" w:rsidRDefault="0DC72359" w14:paraId="1AB5012E" w14:textId="27A30211">
      <w:pPr>
        <w:pStyle w:val="ListParagraph"/>
        <w:numPr>
          <w:ilvl w:val="1"/>
          <w:numId w:val="12"/>
        </w:numPr>
        <w:rPr>
          <w:rStyle w:val="fontstyle01"/>
          <w:rFonts w:ascii="Arial" w:hAnsi="Arial" w:cs="Arial" w:eastAsiaTheme="minorEastAsia"/>
          <w:color w:val="000000" w:themeColor="text1"/>
        </w:rPr>
      </w:pPr>
      <w:r w:rsidRPr="00007910">
        <w:rPr>
          <w:rStyle w:val="fontstyle01"/>
          <w:rFonts w:ascii="Arial" w:hAnsi="Arial" w:cs="Arial" w:eastAsiaTheme="minorEastAsia"/>
          <w:color w:val="000000" w:themeColor="text1"/>
        </w:rPr>
        <w:t>Measure of power quality such as voltage within allowable limitations</w:t>
      </w:r>
      <w:r w:rsidRPr="00007910" w:rsidR="4D94FB93">
        <w:rPr>
          <w:rStyle w:val="fontstyle01"/>
          <w:rFonts w:ascii="Arial" w:hAnsi="Arial" w:cs="Arial" w:eastAsiaTheme="minorEastAsia"/>
          <w:color w:val="000000" w:themeColor="text1"/>
        </w:rPr>
        <w:t>, SARFI70, Total Harmonic Distortion, Total Demand Distortion</w:t>
      </w:r>
      <w:r w:rsidRPr="00007910" w:rsidR="00C5219A">
        <w:rPr>
          <w:rStyle w:val="fontstyle01"/>
          <w:rFonts w:ascii="Arial" w:hAnsi="Arial" w:cs="Arial" w:eastAsiaTheme="minorEastAsia"/>
          <w:color w:val="000000" w:themeColor="text1"/>
        </w:rPr>
        <w:t>; and</w:t>
      </w:r>
    </w:p>
    <w:p w:rsidRPr="00007910" w:rsidR="00B662A9" w:rsidP="00303DAE" w:rsidRDefault="4D94FB93" w14:paraId="65A7B60D" w14:textId="08FDA948">
      <w:pPr>
        <w:pStyle w:val="ListParagraph"/>
        <w:numPr>
          <w:ilvl w:val="1"/>
          <w:numId w:val="12"/>
        </w:numPr>
        <w:rPr>
          <w:rStyle w:val="fontstyle01"/>
          <w:rFonts w:ascii="Arial" w:hAnsi="Arial" w:cs="Arial"/>
        </w:rPr>
      </w:pPr>
      <w:r w:rsidRPr="00007910">
        <w:rPr>
          <w:rStyle w:val="fontstyle01"/>
          <w:rFonts w:ascii="Arial" w:hAnsi="Arial" w:cs="Arial" w:eastAsiaTheme="minorEastAsia"/>
          <w:color w:val="000000" w:themeColor="text1"/>
        </w:rPr>
        <w:t>Reliability metrics for the circuit for tracking by five years prior to the NWA through the NWA for SAIDI, SAIFI, CAIDI</w:t>
      </w:r>
      <w:r w:rsidRPr="00007910" w:rsidR="00C5219A">
        <w:rPr>
          <w:rStyle w:val="fontstyle01"/>
          <w:rFonts w:ascii="Arial" w:hAnsi="Arial" w:cs="Arial" w:eastAsiaTheme="minorEastAsia"/>
          <w:color w:val="000000" w:themeColor="text1"/>
        </w:rPr>
        <w:t>,</w:t>
      </w:r>
      <w:r w:rsidRPr="00007910" w:rsidR="3DEAC9CD">
        <w:rPr>
          <w:rStyle w:val="fontstyle01"/>
          <w:rFonts w:ascii="Arial" w:hAnsi="Arial" w:cs="Arial" w:eastAsiaTheme="minorEastAsia"/>
          <w:color w:val="000000" w:themeColor="text1"/>
        </w:rPr>
        <w:t xml:space="preserve"> excluding and including major storm events</w:t>
      </w:r>
      <w:r w:rsidRPr="00007910" w:rsidR="54B7CA7B">
        <w:rPr>
          <w:rStyle w:val="fontstyle01"/>
          <w:rFonts w:ascii="Arial" w:hAnsi="Arial" w:cs="Arial" w:eastAsiaTheme="minorEastAsia"/>
          <w:color w:val="000000" w:themeColor="text1"/>
        </w:rPr>
        <w:t>.</w:t>
      </w:r>
      <w:r w:rsidRPr="00007910">
        <w:rPr>
          <w:rStyle w:val="FootnoteReference"/>
          <w:rFonts w:cs="Arial" w:eastAsiaTheme="minorEastAsia"/>
          <w:color w:val="000000" w:themeColor="text1"/>
        </w:rPr>
        <w:footnoteReference w:id="16"/>
      </w:r>
      <w:r w:rsidRPr="00007910" w:rsidR="00E61F5A">
        <w:rPr>
          <w:rStyle w:val="fontstyle01"/>
          <w:rFonts w:ascii="Arial" w:hAnsi="Arial" w:cs="Arial" w:eastAsiaTheme="minorEastAsia"/>
          <w:color w:val="000000" w:themeColor="text1"/>
        </w:rPr>
        <w:t xml:space="preserve"> </w:t>
      </w:r>
    </w:p>
    <w:p w:rsidRPr="007F6D74" w:rsidR="735EACFF" w:rsidP="00171CC9" w:rsidRDefault="735EACFF" w14:paraId="558D373F" w14:textId="1214709B">
      <w:pPr>
        <w:pStyle w:val="ListParagraph"/>
        <w:ind w:left="0"/>
        <w:rPr>
          <w:rStyle w:val="fontstyle01"/>
          <w:rFonts w:ascii="Arial" w:hAnsi="Arial" w:cs="Arial"/>
          <w:sz w:val="12"/>
          <w:szCs w:val="12"/>
        </w:rPr>
      </w:pPr>
    </w:p>
    <w:p w:rsidRPr="00007910" w:rsidR="00F0374A" w:rsidP="00A75E2F" w:rsidRDefault="00112CBD" w14:paraId="0254BA08" w14:textId="2DB5872D">
      <w:pPr>
        <w:pStyle w:val="ListParagraph"/>
        <w:ind w:left="0"/>
        <w:jc w:val="both"/>
        <w:rPr>
          <w:rStyle w:val="fontstyle01"/>
          <w:rFonts w:ascii="Arial" w:hAnsi="Arial" w:cs="Arial"/>
          <w:b/>
          <w:bCs/>
        </w:rPr>
      </w:pPr>
      <w:r w:rsidRPr="00007910">
        <w:rPr>
          <w:rStyle w:val="fontstyle01"/>
          <w:rFonts w:ascii="Arial" w:hAnsi="Arial" w:cs="Arial"/>
        </w:rPr>
        <w:t xml:space="preserve">All EM&amp;V plans shall be approved by the Authority in a proceeding simultaneously to or following approval of the NWA project(s). </w:t>
      </w:r>
      <w:r w:rsidRPr="00007910" w:rsidR="005B1AB1">
        <w:rPr>
          <w:rStyle w:val="fontstyle01"/>
          <w:rFonts w:ascii="Arial" w:hAnsi="Arial" w:cs="Arial"/>
        </w:rPr>
        <w:t xml:space="preserve">Thereafter, the EDCs shall </w:t>
      </w:r>
      <w:r w:rsidRPr="00007910" w:rsidR="00962F67">
        <w:rPr>
          <w:rStyle w:val="fontstyle01"/>
          <w:rFonts w:ascii="Arial" w:hAnsi="Arial" w:cs="Arial"/>
        </w:rPr>
        <w:t>work with the Third</w:t>
      </w:r>
      <w:r w:rsidRPr="00007910" w:rsidR="00D27C93">
        <w:rPr>
          <w:rStyle w:val="fontstyle01"/>
          <w:rFonts w:ascii="Arial" w:hAnsi="Arial" w:cs="Arial"/>
        </w:rPr>
        <w:t>-</w:t>
      </w:r>
      <w:r w:rsidRPr="00007910" w:rsidR="00962F67">
        <w:rPr>
          <w:rStyle w:val="fontstyle01"/>
          <w:rFonts w:ascii="Arial" w:hAnsi="Arial" w:cs="Arial"/>
        </w:rPr>
        <w:t xml:space="preserve">Party Administrator </w:t>
      </w:r>
      <w:r w:rsidRPr="00007910" w:rsidR="00BA4315">
        <w:rPr>
          <w:rStyle w:val="fontstyle01"/>
          <w:rFonts w:ascii="Arial" w:hAnsi="Arial" w:cs="Arial"/>
        </w:rPr>
        <w:t>in consultation with DEE</w:t>
      </w:r>
      <w:r w:rsidRPr="00007910" w:rsidR="00432E7C">
        <w:rPr>
          <w:rStyle w:val="fontstyle01"/>
          <w:rFonts w:ascii="Arial" w:hAnsi="Arial" w:cs="Arial"/>
        </w:rPr>
        <w:t>P</w:t>
      </w:r>
      <w:r w:rsidRPr="00007910" w:rsidR="00BA4315">
        <w:rPr>
          <w:rStyle w:val="fontstyle01"/>
          <w:rFonts w:ascii="Arial" w:hAnsi="Arial" w:cs="Arial"/>
        </w:rPr>
        <w:t xml:space="preserve"> and OCC </w:t>
      </w:r>
      <w:r w:rsidRPr="00007910" w:rsidR="00962F67">
        <w:rPr>
          <w:rStyle w:val="fontstyle01"/>
          <w:rFonts w:ascii="Arial" w:hAnsi="Arial" w:cs="Arial"/>
        </w:rPr>
        <w:t xml:space="preserve">to </w:t>
      </w:r>
      <w:r w:rsidRPr="00007910" w:rsidR="00A56177">
        <w:rPr>
          <w:rStyle w:val="fontstyle01"/>
          <w:rFonts w:ascii="Arial" w:hAnsi="Arial" w:cs="Arial"/>
        </w:rPr>
        <w:t>execute the</w:t>
      </w:r>
      <w:r w:rsidRPr="00007910" w:rsidR="00962F67">
        <w:rPr>
          <w:rStyle w:val="fontstyle01"/>
          <w:rFonts w:ascii="Arial" w:hAnsi="Arial" w:cs="Arial"/>
        </w:rPr>
        <w:t xml:space="preserve"> </w:t>
      </w:r>
      <w:r w:rsidRPr="00007910" w:rsidR="00C5219A">
        <w:rPr>
          <w:rStyle w:val="fontstyle01"/>
          <w:rFonts w:ascii="Arial" w:hAnsi="Arial" w:cs="Arial"/>
        </w:rPr>
        <w:t>EM&amp;V plan</w:t>
      </w:r>
      <w:r w:rsidRPr="00007910" w:rsidR="00962F67">
        <w:rPr>
          <w:rStyle w:val="fontstyle01"/>
          <w:rFonts w:ascii="Arial" w:hAnsi="Arial" w:cs="Arial"/>
        </w:rPr>
        <w:t xml:space="preserve"> for each NWA. While a standard format for an EM&amp;V plan for NWAs may eventually be established, the Authority anticipates developing best practices for NWA EM&amp;V through</w:t>
      </w:r>
      <w:r w:rsidRPr="00007910" w:rsidR="00D27C93">
        <w:rPr>
          <w:rStyle w:val="fontstyle01"/>
          <w:rFonts w:ascii="Arial" w:hAnsi="Arial" w:cs="Arial"/>
        </w:rPr>
        <w:t xml:space="preserve"> </w:t>
      </w:r>
      <w:r w:rsidRPr="00007910" w:rsidR="00171CC9">
        <w:rPr>
          <w:rStyle w:val="fontstyle01"/>
          <w:rFonts w:ascii="Arial" w:hAnsi="Arial" w:cs="Arial"/>
        </w:rPr>
        <w:t xml:space="preserve">learning and </w:t>
      </w:r>
      <w:r w:rsidRPr="00007910" w:rsidR="00D27C93">
        <w:rPr>
          <w:rStyle w:val="fontstyle01"/>
          <w:rFonts w:ascii="Arial" w:hAnsi="Arial" w:cs="Arial"/>
        </w:rPr>
        <w:t>evolution of in the</w:t>
      </w:r>
      <w:r w:rsidRPr="00007910" w:rsidR="00962F67">
        <w:rPr>
          <w:rStyle w:val="fontstyle01"/>
          <w:rFonts w:ascii="Arial" w:hAnsi="Arial" w:cs="Arial"/>
        </w:rPr>
        <w:t xml:space="preserve"> initial</w:t>
      </w:r>
      <w:r w:rsidRPr="00007910" w:rsidR="00D27C93">
        <w:rPr>
          <w:rStyle w:val="fontstyle01"/>
          <w:rFonts w:ascii="Arial" w:hAnsi="Arial" w:cs="Arial"/>
        </w:rPr>
        <w:t xml:space="preserve"> NWA projects</w:t>
      </w:r>
      <w:r w:rsidRPr="00007910" w:rsidR="00962F67">
        <w:rPr>
          <w:rStyle w:val="fontstyle01"/>
          <w:rFonts w:ascii="Arial" w:hAnsi="Arial" w:cs="Arial"/>
        </w:rPr>
        <w:t xml:space="preserve">. </w:t>
      </w:r>
    </w:p>
    <w:p w:rsidRPr="00007910" w:rsidR="00391C8C" w:rsidP="00391C8C" w:rsidRDefault="00874657" w14:paraId="764BCA8D" w14:textId="1C6F4D00">
      <w:pPr>
        <w:pStyle w:val="ListParagraph"/>
        <w:numPr>
          <w:ilvl w:val="1"/>
          <w:numId w:val="4"/>
        </w:numPr>
        <w:rPr>
          <w:rStyle w:val="fontstyle01"/>
          <w:rFonts w:ascii="Arial" w:hAnsi="Arial" w:cs="Arial"/>
        </w:rPr>
      </w:pPr>
      <w:r w:rsidRPr="00007910">
        <w:rPr>
          <w:rStyle w:val="fontstyle01"/>
          <w:rFonts w:ascii="Arial" w:hAnsi="Arial" w:cs="Arial"/>
          <w:b/>
          <w:bCs/>
        </w:rPr>
        <w:lastRenderedPageBreak/>
        <w:t>Ownership Models</w:t>
      </w:r>
      <w:r w:rsidRPr="00007910" w:rsidR="00F0374A">
        <w:rPr>
          <w:rStyle w:val="fontstyle01"/>
          <w:rFonts w:ascii="Arial" w:hAnsi="Arial" w:cs="Arial"/>
          <w:b/>
          <w:bCs/>
        </w:rPr>
        <w:br/>
      </w:r>
    </w:p>
    <w:p w:rsidRPr="00007910" w:rsidR="00A86285" w:rsidP="00A75E2F" w:rsidRDefault="00A7318D" w14:paraId="0E74F1C7" w14:textId="22619C53">
      <w:pPr>
        <w:pStyle w:val="ListParagraph"/>
        <w:ind w:left="0"/>
        <w:jc w:val="both"/>
        <w:rPr>
          <w:rStyle w:val="fontstyle01"/>
          <w:rFonts w:ascii="Arial" w:hAnsi="Arial" w:cs="Arial"/>
        </w:rPr>
      </w:pPr>
      <w:r w:rsidRPr="00007910">
        <w:rPr>
          <w:rStyle w:val="fontstyle01"/>
          <w:rFonts w:ascii="Arial" w:hAnsi="Arial" w:cs="Arial"/>
        </w:rPr>
        <w:t xml:space="preserve">In support of a vigorous and fair competitive process, </w:t>
      </w:r>
      <w:r w:rsidRPr="00007910" w:rsidR="00F745AA">
        <w:rPr>
          <w:rStyle w:val="fontstyle01"/>
          <w:rFonts w:ascii="Arial" w:hAnsi="Arial" w:cs="Arial"/>
        </w:rPr>
        <w:t xml:space="preserve">EDC ownership of </w:t>
      </w:r>
      <w:r w:rsidRPr="00007910" w:rsidR="00A86285">
        <w:rPr>
          <w:rStyle w:val="fontstyle01"/>
          <w:rFonts w:ascii="Arial" w:hAnsi="Arial" w:cs="Arial"/>
        </w:rPr>
        <w:t>NWA solutions shall only be allowed in the following circumstances:</w:t>
      </w:r>
      <w:r w:rsidRPr="00007910" w:rsidR="00184C08">
        <w:rPr>
          <w:rStyle w:val="FootnoteReference"/>
          <w:rFonts w:cs="Arial"/>
          <w:color w:val="000000"/>
          <w:szCs w:val="24"/>
        </w:rPr>
        <w:footnoteReference w:id="17"/>
      </w:r>
    </w:p>
    <w:p w:rsidRPr="00007910" w:rsidR="00391C8C" w:rsidP="00A75E2F" w:rsidRDefault="00391C8C" w14:paraId="115AB1CD" w14:textId="77777777">
      <w:pPr>
        <w:pStyle w:val="ListParagraph"/>
        <w:ind w:left="0"/>
        <w:rPr>
          <w:rStyle w:val="fontstyle01"/>
          <w:rFonts w:ascii="Arial" w:hAnsi="Arial" w:cs="Arial"/>
        </w:rPr>
      </w:pPr>
    </w:p>
    <w:p w:rsidRPr="00007910" w:rsidR="00187905" w:rsidRDefault="00A86285" w14:paraId="1EF20713" w14:textId="10CAAB81">
      <w:pPr>
        <w:pStyle w:val="ListParagraph"/>
        <w:numPr>
          <w:ilvl w:val="0"/>
          <w:numId w:val="10"/>
        </w:numPr>
        <w:rPr>
          <w:rFonts w:ascii="Arial" w:hAnsi="Arial" w:cs="Arial"/>
          <w:color w:val="000000"/>
          <w:sz w:val="24"/>
          <w:szCs w:val="24"/>
        </w:rPr>
      </w:pPr>
      <w:r w:rsidRPr="00007910">
        <w:rPr>
          <w:rFonts w:ascii="Arial" w:hAnsi="Arial" w:cs="Arial"/>
          <w:color w:val="000000" w:themeColor="text1"/>
          <w:sz w:val="24"/>
          <w:szCs w:val="24"/>
        </w:rPr>
        <w:t xml:space="preserve">Procurement of </w:t>
      </w:r>
      <w:r w:rsidRPr="00007910" w:rsidR="00187905">
        <w:rPr>
          <w:rFonts w:ascii="Arial" w:hAnsi="Arial" w:cs="Arial"/>
          <w:color w:val="000000" w:themeColor="text1"/>
          <w:sz w:val="24"/>
          <w:szCs w:val="24"/>
        </w:rPr>
        <w:t>a</w:t>
      </w:r>
      <w:r w:rsidR="00DB211C">
        <w:rPr>
          <w:rFonts w:ascii="Arial" w:hAnsi="Arial" w:cs="Arial"/>
          <w:color w:val="000000" w:themeColor="text1"/>
          <w:sz w:val="24"/>
          <w:szCs w:val="24"/>
        </w:rPr>
        <w:t>n</w:t>
      </w:r>
      <w:r w:rsidRPr="00007910" w:rsidR="00187905">
        <w:rPr>
          <w:rFonts w:ascii="Arial" w:hAnsi="Arial" w:cs="Arial"/>
          <w:color w:val="000000" w:themeColor="text1"/>
          <w:sz w:val="24"/>
          <w:szCs w:val="24"/>
        </w:rPr>
        <w:t xml:space="preserve"> NWA</w:t>
      </w:r>
      <w:r w:rsidRPr="00007910">
        <w:rPr>
          <w:rFonts w:ascii="Arial" w:hAnsi="Arial" w:cs="Arial"/>
          <w:color w:val="000000" w:themeColor="text1"/>
          <w:sz w:val="24"/>
          <w:szCs w:val="24"/>
        </w:rPr>
        <w:t xml:space="preserve"> has been solicited to meet a system need, and </w:t>
      </w:r>
      <w:r w:rsidRPr="00007910" w:rsidR="00187905">
        <w:rPr>
          <w:rFonts w:ascii="Arial" w:hAnsi="Arial" w:cs="Arial"/>
          <w:color w:val="000000" w:themeColor="text1"/>
          <w:sz w:val="24"/>
          <w:szCs w:val="24"/>
        </w:rPr>
        <w:t>the EDC</w:t>
      </w:r>
      <w:r w:rsidRPr="00007910">
        <w:rPr>
          <w:rFonts w:ascii="Arial" w:hAnsi="Arial" w:cs="Arial"/>
          <w:color w:val="000000" w:themeColor="text1"/>
          <w:sz w:val="24"/>
          <w:szCs w:val="24"/>
        </w:rPr>
        <w:t xml:space="preserve"> has demonstrated that competitive alternatives proposed by non</w:t>
      </w:r>
      <w:r w:rsidR="00DB211C">
        <w:rPr>
          <w:rFonts w:ascii="Arial" w:hAnsi="Arial" w:cs="Arial"/>
          <w:color w:val="000000" w:themeColor="text1"/>
          <w:sz w:val="24"/>
          <w:szCs w:val="24"/>
        </w:rPr>
        <w:t>-</w:t>
      </w:r>
      <w:r w:rsidRPr="00007910">
        <w:rPr>
          <w:rFonts w:ascii="Arial" w:hAnsi="Arial" w:cs="Arial"/>
          <w:color w:val="000000" w:themeColor="text1"/>
          <w:sz w:val="24"/>
          <w:szCs w:val="24"/>
        </w:rPr>
        <w:t xml:space="preserve">utility parties are clearly inadequate or </w:t>
      </w:r>
      <w:r w:rsidRPr="00007910" w:rsidR="1428C22F">
        <w:rPr>
          <w:rFonts w:ascii="Arial" w:hAnsi="Arial" w:cs="Arial"/>
          <w:color w:val="000000" w:themeColor="text1"/>
          <w:sz w:val="24"/>
          <w:szCs w:val="24"/>
        </w:rPr>
        <w:t xml:space="preserve">fail to satisfy the benefit to cost analysis compared to </w:t>
      </w:r>
      <w:r w:rsidRPr="00007910">
        <w:rPr>
          <w:rFonts w:ascii="Arial" w:hAnsi="Arial" w:cs="Arial"/>
          <w:color w:val="000000" w:themeColor="text1"/>
          <w:sz w:val="24"/>
          <w:szCs w:val="24"/>
        </w:rPr>
        <w:t>a traditional utility infrastructure alternative</w:t>
      </w:r>
      <w:r w:rsidRPr="00007910" w:rsidR="00B828B2">
        <w:rPr>
          <w:rFonts w:ascii="Arial" w:hAnsi="Arial" w:cs="Arial"/>
          <w:color w:val="000000" w:themeColor="text1"/>
          <w:sz w:val="24"/>
          <w:szCs w:val="24"/>
        </w:rPr>
        <w:t>;</w:t>
      </w:r>
      <w:r w:rsidRPr="00007910">
        <w:rPr>
          <w:rFonts w:ascii="Arial" w:hAnsi="Arial" w:cs="Arial"/>
          <w:color w:val="000000" w:themeColor="text1"/>
          <w:sz w:val="24"/>
          <w:szCs w:val="24"/>
        </w:rPr>
        <w:t xml:space="preserve"> </w:t>
      </w:r>
    </w:p>
    <w:p w:rsidRPr="00007910" w:rsidR="00B828B2" w:rsidRDefault="00A86285" w14:paraId="391E728F" w14:textId="5850B25B">
      <w:pPr>
        <w:pStyle w:val="ListParagraph"/>
        <w:numPr>
          <w:ilvl w:val="0"/>
          <w:numId w:val="10"/>
        </w:numPr>
        <w:rPr>
          <w:rFonts w:ascii="Arial" w:hAnsi="Arial" w:cs="Arial"/>
          <w:color w:val="000000"/>
          <w:sz w:val="24"/>
          <w:szCs w:val="24"/>
        </w:rPr>
      </w:pPr>
      <w:r w:rsidRPr="00007910">
        <w:rPr>
          <w:rFonts w:ascii="Arial" w:hAnsi="Arial" w:cs="Arial"/>
          <w:color w:val="000000"/>
          <w:sz w:val="24"/>
          <w:szCs w:val="24"/>
        </w:rPr>
        <w:t xml:space="preserve">A project consists of energy storage integrated into distribution system </w:t>
      </w:r>
      <w:proofErr w:type="gramStart"/>
      <w:r w:rsidRPr="00007910">
        <w:rPr>
          <w:rFonts w:ascii="Arial" w:hAnsi="Arial" w:cs="Arial"/>
          <w:color w:val="000000"/>
          <w:sz w:val="24"/>
          <w:szCs w:val="24"/>
        </w:rPr>
        <w:t>architecture</w:t>
      </w:r>
      <w:r w:rsidRPr="00007910" w:rsidR="00B828B2">
        <w:rPr>
          <w:rFonts w:ascii="Arial" w:hAnsi="Arial" w:cs="Arial"/>
          <w:color w:val="000000"/>
          <w:sz w:val="24"/>
          <w:szCs w:val="24"/>
        </w:rPr>
        <w:t>;</w:t>
      </w:r>
      <w:proofErr w:type="gramEnd"/>
      <w:r w:rsidRPr="00007910">
        <w:rPr>
          <w:rFonts w:ascii="Arial" w:hAnsi="Arial" w:cs="Arial"/>
          <w:color w:val="000000"/>
          <w:sz w:val="24"/>
          <w:szCs w:val="24"/>
        </w:rPr>
        <w:t xml:space="preserve"> </w:t>
      </w:r>
    </w:p>
    <w:p w:rsidRPr="00007910" w:rsidR="00B828B2" w:rsidRDefault="00A86285" w14:paraId="7754EEF6" w14:textId="463CF070">
      <w:pPr>
        <w:pStyle w:val="ListParagraph"/>
        <w:numPr>
          <w:ilvl w:val="0"/>
          <w:numId w:val="10"/>
        </w:numPr>
        <w:rPr>
          <w:rFonts w:ascii="Arial" w:hAnsi="Arial" w:cs="Arial"/>
          <w:color w:val="000000"/>
          <w:sz w:val="24"/>
          <w:szCs w:val="24"/>
        </w:rPr>
      </w:pPr>
      <w:r w:rsidRPr="00007910">
        <w:rPr>
          <w:rFonts w:ascii="Arial" w:hAnsi="Arial" w:cs="Arial"/>
          <w:color w:val="000000" w:themeColor="text1"/>
          <w:sz w:val="24"/>
          <w:szCs w:val="24"/>
        </w:rPr>
        <w:t xml:space="preserve">A project will enable </w:t>
      </w:r>
      <w:r w:rsidRPr="00007910" w:rsidR="00C55527">
        <w:rPr>
          <w:rFonts w:ascii="Arial" w:hAnsi="Arial" w:cs="Arial"/>
          <w:color w:val="000000" w:themeColor="text1"/>
          <w:sz w:val="24"/>
          <w:szCs w:val="24"/>
        </w:rPr>
        <w:t>low- or moderate-income</w:t>
      </w:r>
      <w:r w:rsidRPr="00007910">
        <w:rPr>
          <w:rFonts w:ascii="Arial" w:hAnsi="Arial" w:cs="Arial"/>
          <w:color w:val="000000" w:themeColor="text1"/>
          <w:sz w:val="24"/>
          <w:szCs w:val="24"/>
        </w:rPr>
        <w:t xml:space="preserve"> residential customers to benefit from DER</w:t>
      </w:r>
      <w:r w:rsidR="00DB211C">
        <w:rPr>
          <w:rFonts w:ascii="Arial" w:hAnsi="Arial" w:cs="Arial"/>
          <w:color w:val="000000" w:themeColor="text1"/>
          <w:sz w:val="24"/>
          <w:szCs w:val="24"/>
        </w:rPr>
        <w:t>s</w:t>
      </w:r>
      <w:r w:rsidRPr="00007910">
        <w:rPr>
          <w:rFonts w:ascii="Arial" w:hAnsi="Arial" w:cs="Arial"/>
          <w:color w:val="000000" w:themeColor="text1"/>
          <w:sz w:val="24"/>
          <w:szCs w:val="24"/>
        </w:rPr>
        <w:t xml:space="preserve"> where markets are not likely to satisfy the need</w:t>
      </w:r>
      <w:r w:rsidRPr="00007910" w:rsidR="5C65C0E1">
        <w:rPr>
          <w:rFonts w:ascii="Arial" w:hAnsi="Arial" w:cs="Arial"/>
          <w:color w:val="000000" w:themeColor="text1"/>
          <w:sz w:val="24"/>
          <w:szCs w:val="24"/>
        </w:rPr>
        <w:t xml:space="preserve"> based on the results of a </w:t>
      </w:r>
      <w:r w:rsidRPr="00007910" w:rsidR="009C78BC">
        <w:rPr>
          <w:rStyle w:val="fontstyle01"/>
          <w:rFonts w:ascii="Arial" w:hAnsi="Arial" w:cs="Arial"/>
        </w:rPr>
        <w:t xml:space="preserve">Third-Party Administrator or </w:t>
      </w:r>
      <w:r w:rsidRPr="00007910" w:rsidR="5C65C0E1">
        <w:rPr>
          <w:rFonts w:ascii="Arial" w:hAnsi="Arial" w:cs="Arial"/>
          <w:color w:val="000000" w:themeColor="text1"/>
          <w:sz w:val="24"/>
          <w:szCs w:val="24"/>
        </w:rPr>
        <w:t xml:space="preserve">utility </w:t>
      </w:r>
      <w:r w:rsidRPr="00007910" w:rsidR="00B25BA9">
        <w:rPr>
          <w:rFonts w:ascii="Arial" w:hAnsi="Arial" w:cs="Arial"/>
          <w:color w:val="000000" w:themeColor="text1"/>
          <w:sz w:val="24"/>
          <w:szCs w:val="24"/>
        </w:rPr>
        <w:t>solicitation</w:t>
      </w:r>
      <w:r w:rsidRPr="00007910" w:rsidR="00B828B2">
        <w:rPr>
          <w:rFonts w:ascii="Arial" w:hAnsi="Arial" w:cs="Arial"/>
          <w:color w:val="000000" w:themeColor="text1"/>
          <w:sz w:val="24"/>
          <w:szCs w:val="24"/>
        </w:rPr>
        <w:t>;</w:t>
      </w:r>
      <w:r w:rsidRPr="00007910">
        <w:rPr>
          <w:rFonts w:ascii="Arial" w:hAnsi="Arial" w:cs="Arial"/>
          <w:color w:val="000000" w:themeColor="text1"/>
          <w:sz w:val="24"/>
          <w:szCs w:val="24"/>
        </w:rPr>
        <w:t xml:space="preserve"> </w:t>
      </w:r>
      <w:r w:rsidRPr="00007910" w:rsidR="007E7750">
        <w:rPr>
          <w:rFonts w:ascii="Arial" w:hAnsi="Arial" w:cs="Arial"/>
          <w:color w:val="000000" w:themeColor="text1"/>
          <w:sz w:val="24"/>
          <w:szCs w:val="24"/>
        </w:rPr>
        <w:t>and</w:t>
      </w:r>
    </w:p>
    <w:p w:rsidRPr="00007910" w:rsidR="00A86285" w:rsidP="0050184C" w:rsidRDefault="00A86285" w14:paraId="03BFAA0D" w14:textId="7C53B236">
      <w:pPr>
        <w:pStyle w:val="ListParagraph"/>
        <w:numPr>
          <w:ilvl w:val="0"/>
          <w:numId w:val="10"/>
        </w:numPr>
        <w:rPr>
          <w:rStyle w:val="fontstyle01"/>
          <w:rFonts w:ascii="Arial" w:hAnsi="Arial" w:cs="Arial"/>
        </w:rPr>
      </w:pPr>
      <w:r w:rsidRPr="00007910">
        <w:rPr>
          <w:rFonts w:ascii="Arial" w:hAnsi="Arial" w:cs="Arial"/>
          <w:color w:val="000000" w:themeColor="text1"/>
          <w:sz w:val="24"/>
          <w:szCs w:val="24"/>
        </w:rPr>
        <w:t>A project is being sponsored for demonstration purposes</w:t>
      </w:r>
      <w:r w:rsidRPr="00007910" w:rsidR="0B213155">
        <w:rPr>
          <w:rFonts w:ascii="Arial" w:hAnsi="Arial" w:cs="Arial"/>
          <w:color w:val="000000" w:themeColor="text1"/>
          <w:sz w:val="24"/>
          <w:szCs w:val="24"/>
        </w:rPr>
        <w:t xml:space="preserve"> by a utility</w:t>
      </w:r>
      <w:r w:rsidRPr="00007910">
        <w:rPr>
          <w:rFonts w:ascii="Arial" w:hAnsi="Arial" w:cs="Arial"/>
          <w:color w:val="000000" w:themeColor="text1"/>
          <w:sz w:val="24"/>
          <w:szCs w:val="24"/>
        </w:rPr>
        <w:t>.</w:t>
      </w:r>
    </w:p>
    <w:p w:rsidRPr="00007910" w:rsidR="0958C2CB" w:rsidP="0958C2CB" w:rsidRDefault="0958C2CB" w14:paraId="5CBB0027" w14:textId="40FA2320">
      <w:pPr>
        <w:pStyle w:val="ListParagraph"/>
        <w:ind w:left="0"/>
        <w:rPr>
          <w:rStyle w:val="fontstyle01"/>
          <w:rFonts w:ascii="Arial" w:hAnsi="Arial" w:cs="Arial"/>
        </w:rPr>
      </w:pPr>
    </w:p>
    <w:p w:rsidRPr="00007910" w:rsidR="00AC3E15" w:rsidP="00F0374A" w:rsidRDefault="00874657" w14:paraId="3F0782F5" w14:textId="77777777">
      <w:pPr>
        <w:pStyle w:val="ListParagraph"/>
        <w:numPr>
          <w:ilvl w:val="1"/>
          <w:numId w:val="4"/>
        </w:numPr>
        <w:rPr>
          <w:rStyle w:val="fontstyle01"/>
          <w:rFonts w:ascii="Arial" w:hAnsi="Arial" w:cs="Arial"/>
          <w:b/>
          <w:bCs/>
        </w:rPr>
      </w:pPr>
      <w:r w:rsidRPr="00007910">
        <w:rPr>
          <w:rStyle w:val="fontstyle01"/>
          <w:rFonts w:ascii="Arial" w:hAnsi="Arial" w:cs="Arial"/>
          <w:b/>
          <w:bCs/>
        </w:rPr>
        <w:t>Market Engagement Strategies</w:t>
      </w:r>
      <w:r w:rsidRPr="00007910" w:rsidR="00AC3E15">
        <w:rPr>
          <w:rStyle w:val="fontstyle01"/>
          <w:rFonts w:ascii="Arial" w:hAnsi="Arial" w:cs="Arial"/>
          <w:b/>
          <w:bCs/>
        </w:rPr>
        <w:br/>
      </w:r>
    </w:p>
    <w:p w:rsidRPr="00007910" w:rsidR="00AC3E15" w:rsidP="00A75E2F" w:rsidRDefault="008B21C1" w14:paraId="4B7D6204" w14:textId="5D247A8A">
      <w:pPr>
        <w:pStyle w:val="ListParagraph"/>
        <w:ind w:left="0"/>
        <w:jc w:val="both"/>
        <w:rPr>
          <w:rStyle w:val="fontstyle01"/>
          <w:rFonts w:ascii="Arial" w:hAnsi="Arial" w:cs="Arial"/>
        </w:rPr>
      </w:pPr>
      <w:r w:rsidRPr="00007910">
        <w:rPr>
          <w:rStyle w:val="fontstyle01"/>
          <w:rFonts w:ascii="Arial" w:hAnsi="Arial" w:cs="Arial"/>
        </w:rPr>
        <w:t>Transparency</w:t>
      </w:r>
      <w:r w:rsidRPr="00007910" w:rsidR="00AC3E15">
        <w:rPr>
          <w:rStyle w:val="fontstyle01"/>
          <w:rFonts w:ascii="Arial" w:hAnsi="Arial" w:cs="Arial"/>
        </w:rPr>
        <w:t xml:space="preserve"> is critical to development of a competitive market for NWA providers</w:t>
      </w:r>
      <w:r w:rsidRPr="00007910" w:rsidR="009C78BC">
        <w:rPr>
          <w:rStyle w:val="fontstyle01"/>
          <w:rFonts w:ascii="Arial" w:hAnsi="Arial" w:cs="Arial"/>
        </w:rPr>
        <w:t xml:space="preserve"> at all stages including initial distribution system need identification and NWA suitability screening</w:t>
      </w:r>
      <w:r w:rsidRPr="00007910" w:rsidR="00910FB5">
        <w:rPr>
          <w:rStyle w:val="fontstyle01"/>
          <w:rFonts w:ascii="Arial" w:hAnsi="Arial" w:cs="Arial"/>
        </w:rPr>
        <w:t>. Competitive companies need</w:t>
      </w:r>
      <w:r w:rsidRPr="00007910" w:rsidR="00AC3E15">
        <w:rPr>
          <w:rStyle w:val="fontstyle01"/>
          <w:rFonts w:ascii="Arial" w:hAnsi="Arial" w:cs="Arial"/>
        </w:rPr>
        <w:t xml:space="preserve"> to have confidence </w:t>
      </w:r>
      <w:r w:rsidRPr="00007910" w:rsidR="00910FB5">
        <w:rPr>
          <w:rStyle w:val="fontstyle01"/>
          <w:rFonts w:ascii="Arial" w:hAnsi="Arial" w:cs="Arial"/>
        </w:rPr>
        <w:t xml:space="preserve">in the process </w:t>
      </w:r>
      <w:r w:rsidRPr="00007910" w:rsidR="00AC3E15">
        <w:rPr>
          <w:rStyle w:val="fontstyle01"/>
          <w:rFonts w:ascii="Arial" w:hAnsi="Arial" w:cs="Arial"/>
        </w:rPr>
        <w:t xml:space="preserve">to </w:t>
      </w:r>
      <w:r w:rsidRPr="00007910" w:rsidR="00910FB5">
        <w:rPr>
          <w:rStyle w:val="fontstyle01"/>
          <w:rFonts w:ascii="Arial" w:hAnsi="Arial" w:cs="Arial"/>
        </w:rPr>
        <w:t xml:space="preserve">invest their own resources to </w:t>
      </w:r>
      <w:r w:rsidRPr="00007910" w:rsidR="00AC3E15">
        <w:rPr>
          <w:rStyle w:val="fontstyle01"/>
          <w:rFonts w:ascii="Arial" w:hAnsi="Arial" w:cs="Arial"/>
        </w:rPr>
        <w:t xml:space="preserve">develop competitive bids. </w:t>
      </w:r>
      <w:r w:rsidRPr="00007910" w:rsidR="00910FB5">
        <w:rPr>
          <w:rStyle w:val="fontstyle01"/>
          <w:rFonts w:ascii="Arial" w:hAnsi="Arial" w:cs="Arial"/>
        </w:rPr>
        <w:t>An</w:t>
      </w:r>
      <w:r w:rsidRPr="00007910" w:rsidR="00AC3E15">
        <w:rPr>
          <w:rStyle w:val="fontstyle01"/>
          <w:rFonts w:ascii="Arial" w:hAnsi="Arial" w:cs="Arial"/>
        </w:rPr>
        <w:t xml:space="preserve"> open NWA process that allows NWA providers to access information on potential NWAs </w:t>
      </w:r>
      <w:r w:rsidRPr="00007910" w:rsidR="00B54082">
        <w:rPr>
          <w:rStyle w:val="fontstyle01"/>
          <w:rFonts w:ascii="Arial" w:hAnsi="Arial" w:cs="Arial"/>
        </w:rPr>
        <w:t xml:space="preserve">concurrently </w:t>
      </w:r>
      <w:r w:rsidRPr="00007910" w:rsidR="00C60552">
        <w:rPr>
          <w:rStyle w:val="fontstyle01"/>
          <w:rFonts w:ascii="Arial" w:hAnsi="Arial" w:cs="Arial"/>
        </w:rPr>
        <w:t xml:space="preserve">with </w:t>
      </w:r>
      <w:r w:rsidRPr="00007910" w:rsidR="00910FB5">
        <w:rPr>
          <w:rStyle w:val="fontstyle01"/>
          <w:rFonts w:ascii="Arial" w:hAnsi="Arial" w:cs="Arial"/>
        </w:rPr>
        <w:t>potential utility-affiliates is important for</w:t>
      </w:r>
      <w:r w:rsidRPr="00007910" w:rsidR="00AC3E15">
        <w:rPr>
          <w:rStyle w:val="fontstyle01"/>
          <w:rFonts w:ascii="Arial" w:hAnsi="Arial" w:cs="Arial"/>
        </w:rPr>
        <w:t xml:space="preserve"> the </w:t>
      </w:r>
      <w:r w:rsidRPr="00007910" w:rsidR="00A173FB">
        <w:rPr>
          <w:rStyle w:val="fontstyle01"/>
          <w:rFonts w:ascii="Arial" w:hAnsi="Arial" w:cs="Arial"/>
        </w:rPr>
        <w:t>Third-Party</w:t>
      </w:r>
      <w:r w:rsidRPr="00007910" w:rsidR="00AC3E15">
        <w:rPr>
          <w:rStyle w:val="fontstyle01"/>
          <w:rFonts w:ascii="Arial" w:hAnsi="Arial" w:cs="Arial"/>
        </w:rPr>
        <w:t xml:space="preserve"> Administrator.</w:t>
      </w:r>
    </w:p>
    <w:p w:rsidRPr="00007910" w:rsidR="00AC3E15" w:rsidP="00A75E2F" w:rsidRDefault="00AC3E15" w14:paraId="7BAAFBBC" w14:textId="7BB8C013">
      <w:pPr>
        <w:pStyle w:val="ListParagraph"/>
        <w:ind w:left="0" w:firstLine="720"/>
        <w:jc w:val="both"/>
        <w:rPr>
          <w:rFonts w:ascii="Arial" w:hAnsi="Arial" w:cs="Arial"/>
        </w:rPr>
      </w:pPr>
    </w:p>
    <w:p w:rsidRPr="00007910" w:rsidR="00AC3E15" w:rsidP="00A75E2F" w:rsidRDefault="01A1A617" w14:paraId="787DEECE" w14:textId="0158484B">
      <w:pPr>
        <w:pStyle w:val="ListParagraph"/>
        <w:ind w:left="0"/>
        <w:jc w:val="both"/>
        <w:rPr>
          <w:rStyle w:val="fontstyle01"/>
          <w:rFonts w:ascii="Arial" w:hAnsi="Arial" w:cs="Arial"/>
        </w:rPr>
      </w:pPr>
      <w:r w:rsidRPr="00007910">
        <w:rPr>
          <w:rFonts w:ascii="Arial" w:hAnsi="Arial" w:eastAsia="Arial Nova Light" w:cs="Arial"/>
          <w:sz w:val="24"/>
          <w:szCs w:val="24"/>
        </w:rPr>
        <w:t>The N</w:t>
      </w:r>
      <w:r w:rsidRPr="00007910" w:rsidR="48D0EC0D">
        <w:rPr>
          <w:rFonts w:ascii="Arial" w:hAnsi="Arial" w:eastAsia="Arial Nova Light" w:cs="Arial"/>
          <w:sz w:val="24"/>
          <w:szCs w:val="24"/>
        </w:rPr>
        <w:t>ortheast</w:t>
      </w:r>
      <w:r w:rsidRPr="00007910">
        <w:rPr>
          <w:rFonts w:ascii="Arial" w:hAnsi="Arial" w:eastAsia="Arial Nova Light" w:cs="Arial"/>
          <w:sz w:val="24"/>
          <w:szCs w:val="24"/>
        </w:rPr>
        <w:t xml:space="preserve"> Clean Energy Council and </w:t>
      </w:r>
      <w:r w:rsidRPr="00007910" w:rsidR="57A4C1BE">
        <w:rPr>
          <w:rFonts w:ascii="Arial" w:hAnsi="Arial" w:eastAsia="Arial Nova Light" w:cs="Arial"/>
          <w:sz w:val="24"/>
          <w:szCs w:val="24"/>
        </w:rPr>
        <w:t xml:space="preserve">RENEW Northeast pointed to the importance of </w:t>
      </w:r>
      <w:r w:rsidRPr="00007910" w:rsidR="1893008B">
        <w:rPr>
          <w:rFonts w:ascii="Arial" w:hAnsi="Arial" w:eastAsia="Arial Nova Light" w:cs="Arial"/>
          <w:sz w:val="24"/>
          <w:szCs w:val="24"/>
        </w:rPr>
        <w:t>information</w:t>
      </w:r>
      <w:r w:rsidRPr="00007910" w:rsidR="57A4C1BE">
        <w:rPr>
          <w:rFonts w:ascii="Arial" w:hAnsi="Arial" w:eastAsia="Arial Nova Light" w:cs="Arial"/>
          <w:sz w:val="24"/>
          <w:szCs w:val="24"/>
        </w:rPr>
        <w:t xml:space="preserve"> sharing </w:t>
      </w:r>
      <w:r w:rsidRPr="00007910" w:rsidR="1CC06316">
        <w:rPr>
          <w:rFonts w:ascii="Arial" w:hAnsi="Arial" w:eastAsia="Arial Nova Light" w:cs="Arial"/>
          <w:sz w:val="24"/>
          <w:szCs w:val="24"/>
        </w:rPr>
        <w:t>to facilitate</w:t>
      </w:r>
      <w:r w:rsidRPr="00007910" w:rsidR="3EEA0AFB">
        <w:rPr>
          <w:rFonts w:ascii="Arial" w:hAnsi="Arial" w:eastAsia="Arial Nova Light" w:cs="Arial"/>
          <w:sz w:val="24"/>
          <w:szCs w:val="24"/>
        </w:rPr>
        <w:t xml:space="preserve"> well-designed RFP solutions</w:t>
      </w:r>
      <w:r w:rsidRPr="00007910" w:rsidR="57A4C1BE">
        <w:rPr>
          <w:rFonts w:ascii="Arial" w:hAnsi="Arial" w:eastAsia="Arial Nova Light" w:cs="Arial"/>
          <w:sz w:val="24"/>
          <w:szCs w:val="24"/>
        </w:rPr>
        <w:t>:</w:t>
      </w:r>
    </w:p>
    <w:p w:rsidRPr="00007910" w:rsidR="00AC3E15" w:rsidP="00910FB5" w:rsidRDefault="00AC3E15" w14:paraId="381FCE3F" w14:textId="04A3F88C">
      <w:pPr>
        <w:pStyle w:val="ListParagraph"/>
        <w:ind w:left="0" w:firstLine="720"/>
        <w:rPr>
          <w:rFonts w:ascii="Arial" w:hAnsi="Arial" w:cs="Arial"/>
        </w:rPr>
      </w:pPr>
    </w:p>
    <w:p w:rsidRPr="00007910" w:rsidR="00AC3E15" w:rsidP="00D34385" w:rsidRDefault="2E89F50A" w14:paraId="10DCFCF1" w14:textId="753CAF07">
      <w:pPr>
        <w:pStyle w:val="ListParagraph"/>
        <w:rPr>
          <w:rFonts w:ascii="Arial" w:hAnsi="Arial" w:eastAsia="Arial Nova Light" w:cs="Arial"/>
          <w:sz w:val="24"/>
          <w:szCs w:val="24"/>
        </w:rPr>
      </w:pPr>
      <w:r w:rsidRPr="00007910">
        <w:rPr>
          <w:rFonts w:ascii="Arial" w:hAnsi="Arial" w:eastAsia="Arial Nova Light" w:cs="Arial"/>
          <w:sz w:val="24"/>
          <w:szCs w:val="24"/>
        </w:rPr>
        <w:t>Respondents require clarity on the solution being sought, the characteristics of the project need and surrounding load, the criteria by which a project will be evaluated, and the deadline for project comple</w:t>
      </w:r>
      <w:r w:rsidRPr="00007910" w:rsidR="5E3DE312">
        <w:rPr>
          <w:rFonts w:ascii="Arial" w:hAnsi="Arial" w:eastAsia="Arial Nova Light" w:cs="Arial"/>
          <w:sz w:val="24"/>
          <w:szCs w:val="24"/>
        </w:rPr>
        <w:t xml:space="preserve">tion. The more information that is available to potential respondents, the </w:t>
      </w:r>
      <w:r w:rsidRPr="00007910" w:rsidR="1E53E6AE">
        <w:rPr>
          <w:rFonts w:ascii="Arial" w:hAnsi="Arial" w:eastAsia="Arial Nova Light" w:cs="Arial"/>
          <w:sz w:val="24"/>
          <w:szCs w:val="24"/>
        </w:rPr>
        <w:t>m</w:t>
      </w:r>
      <w:r w:rsidRPr="00007910" w:rsidR="5E3DE312">
        <w:rPr>
          <w:rFonts w:ascii="Arial" w:hAnsi="Arial" w:eastAsia="Arial Nova Light" w:cs="Arial"/>
          <w:sz w:val="24"/>
          <w:szCs w:val="24"/>
        </w:rPr>
        <w:t>ore well-designed a solution can be.</w:t>
      </w:r>
      <w:r w:rsidRPr="00007910" w:rsidR="00DD5DE1">
        <w:rPr>
          <w:rStyle w:val="FootnoteReference"/>
          <w:rFonts w:eastAsia="Arial Nova Light" w:cs="Arial"/>
          <w:szCs w:val="24"/>
        </w:rPr>
        <w:footnoteReference w:id="18"/>
      </w:r>
    </w:p>
    <w:p w:rsidRPr="00007910" w:rsidR="00AC3E15" w:rsidP="00D34385" w:rsidRDefault="00AC3E15" w14:paraId="1D43548E" w14:textId="7ADECA84">
      <w:pPr>
        <w:pStyle w:val="ListParagraph"/>
        <w:ind w:left="0"/>
        <w:rPr>
          <w:rFonts w:ascii="Arial" w:hAnsi="Arial" w:eastAsia="Arial Nova Light" w:cs="Arial"/>
          <w:sz w:val="24"/>
          <w:szCs w:val="24"/>
        </w:rPr>
      </w:pPr>
    </w:p>
    <w:p w:rsidR="00AC3E15" w:rsidP="00A75E2F" w:rsidRDefault="1D4C434F" w14:paraId="1AAB32F0" w14:textId="1F0832DD">
      <w:pPr>
        <w:pStyle w:val="ListParagraph"/>
        <w:ind w:left="0"/>
        <w:jc w:val="both"/>
        <w:rPr>
          <w:rStyle w:val="fontstyle01"/>
          <w:rFonts w:ascii="Arial" w:hAnsi="Arial" w:cs="Arial"/>
        </w:rPr>
      </w:pPr>
      <w:r w:rsidRPr="00007910">
        <w:rPr>
          <w:rFonts w:ascii="Arial" w:hAnsi="Arial" w:eastAsia="Arial Nova Light" w:cs="Arial"/>
          <w:sz w:val="24"/>
          <w:szCs w:val="24"/>
        </w:rPr>
        <w:t>For these reasons, the Authority views a transparent process communicating the solution(s) being sought, the project need(s) and surround</w:t>
      </w:r>
      <w:r w:rsidRPr="00007910" w:rsidR="00BD2CC0">
        <w:rPr>
          <w:rFonts w:ascii="Arial" w:hAnsi="Arial" w:eastAsia="Arial Nova Light" w:cs="Arial"/>
          <w:sz w:val="24"/>
          <w:szCs w:val="24"/>
        </w:rPr>
        <w:t>ing</w:t>
      </w:r>
      <w:r w:rsidRPr="00007910">
        <w:rPr>
          <w:rFonts w:ascii="Arial" w:hAnsi="Arial" w:eastAsia="Arial Nova Light" w:cs="Arial"/>
          <w:sz w:val="24"/>
          <w:szCs w:val="24"/>
        </w:rPr>
        <w:t xml:space="preserve"> load, and criteria for evaluation as well as project </w:t>
      </w:r>
      <w:r w:rsidRPr="00007910" w:rsidR="28940A0F">
        <w:rPr>
          <w:rFonts w:ascii="Arial" w:hAnsi="Arial" w:eastAsia="Arial Nova Light" w:cs="Arial"/>
          <w:sz w:val="24"/>
          <w:szCs w:val="24"/>
        </w:rPr>
        <w:t>completion as a critically important market engagement strategy.</w:t>
      </w:r>
    </w:p>
    <w:p w:rsidRPr="00007910" w:rsidR="00DB211C" w:rsidP="00A75E2F" w:rsidRDefault="00DB211C" w14:paraId="4FA71EC5" w14:textId="77777777">
      <w:pPr>
        <w:pStyle w:val="ListParagraph"/>
        <w:ind w:left="0"/>
        <w:jc w:val="both"/>
        <w:rPr>
          <w:rStyle w:val="fontstyle01"/>
          <w:rFonts w:ascii="Arial" w:hAnsi="Arial" w:cs="Arial"/>
        </w:rPr>
      </w:pPr>
    </w:p>
    <w:p w:rsidRPr="00007910" w:rsidR="002000DE" w:rsidP="00A75E2F" w:rsidRDefault="00AC3E15" w14:paraId="5870BD3D" w14:textId="5EB57B2A">
      <w:pPr>
        <w:pStyle w:val="ListParagraph"/>
        <w:ind w:left="0"/>
        <w:jc w:val="both"/>
        <w:rPr>
          <w:rStyle w:val="fontstyle01"/>
          <w:rFonts w:ascii="Arial" w:hAnsi="Arial" w:cs="Arial"/>
        </w:rPr>
      </w:pPr>
      <w:r w:rsidRPr="00007910">
        <w:rPr>
          <w:rStyle w:val="fontstyle01"/>
          <w:rFonts w:ascii="Arial" w:hAnsi="Arial" w:cs="Arial"/>
        </w:rPr>
        <w:t>NWA providers</w:t>
      </w:r>
      <w:r w:rsidRPr="00007910" w:rsidR="00910FB5">
        <w:rPr>
          <w:rStyle w:val="fontstyle01"/>
          <w:rFonts w:ascii="Arial" w:hAnsi="Arial" w:cs="Arial"/>
        </w:rPr>
        <w:t xml:space="preserve"> must</w:t>
      </w:r>
      <w:r w:rsidRPr="00007910">
        <w:rPr>
          <w:rStyle w:val="fontstyle01"/>
          <w:rFonts w:ascii="Arial" w:hAnsi="Arial" w:cs="Arial"/>
        </w:rPr>
        <w:t xml:space="preserve"> be able to be engaged in </w:t>
      </w:r>
      <w:r w:rsidRPr="00007910" w:rsidR="00A446F3">
        <w:rPr>
          <w:rStyle w:val="fontstyle01"/>
          <w:rFonts w:ascii="Arial" w:hAnsi="Arial" w:cs="Arial"/>
        </w:rPr>
        <w:t xml:space="preserve">all </w:t>
      </w:r>
      <w:r w:rsidRPr="00007910">
        <w:rPr>
          <w:rStyle w:val="fontstyle01"/>
          <w:rFonts w:ascii="Arial" w:hAnsi="Arial" w:cs="Arial"/>
        </w:rPr>
        <w:t>aspects of the process</w:t>
      </w:r>
      <w:r w:rsidRPr="00007910" w:rsidR="002000DE">
        <w:rPr>
          <w:rStyle w:val="fontstyle01"/>
          <w:rFonts w:ascii="Arial" w:hAnsi="Arial" w:cs="Arial"/>
        </w:rPr>
        <w:t xml:space="preserve"> from identification of distribution system projects to scoping with the Third-Party Administrator. </w:t>
      </w:r>
      <w:r w:rsidRPr="00007910" w:rsidR="002000DE">
        <w:rPr>
          <w:rStyle w:val="fontstyle01"/>
          <w:rFonts w:ascii="Arial" w:hAnsi="Arial" w:cs="Arial"/>
        </w:rPr>
        <w:lastRenderedPageBreak/>
        <w:t>NWA providers shall be allowed to sign NDA and CEII Agreement to have the same access to project identification and scoping data and information as the Third-Party Administrator. Ideally, NWA providers shall be allowed the same access as any EDCs bidding on those projects</w:t>
      </w:r>
      <w:r w:rsidR="00DB211C">
        <w:rPr>
          <w:rStyle w:val="fontstyle01"/>
          <w:rFonts w:ascii="Arial" w:hAnsi="Arial" w:cs="Arial"/>
        </w:rPr>
        <w:t>,</w:t>
      </w:r>
      <w:r w:rsidRPr="00007910" w:rsidR="00910FB5">
        <w:rPr>
          <w:rStyle w:val="fontstyle01"/>
          <w:rFonts w:ascii="Arial" w:hAnsi="Arial" w:cs="Arial"/>
        </w:rPr>
        <w:t xml:space="preserve"> which necessitates the open initial process to needs </w:t>
      </w:r>
      <w:r w:rsidRPr="00007910" w:rsidR="008B21C1">
        <w:rPr>
          <w:rStyle w:val="fontstyle01"/>
          <w:rFonts w:ascii="Arial" w:hAnsi="Arial" w:cs="Arial"/>
        </w:rPr>
        <w:t>identification</w:t>
      </w:r>
      <w:r w:rsidRPr="00007910" w:rsidR="00910FB5">
        <w:rPr>
          <w:rStyle w:val="fontstyle01"/>
          <w:rFonts w:ascii="Arial" w:hAnsi="Arial" w:cs="Arial"/>
        </w:rPr>
        <w:t xml:space="preserve"> discussed </w:t>
      </w:r>
      <w:r w:rsidRPr="00007910" w:rsidR="00752FF8">
        <w:rPr>
          <w:rStyle w:val="fontstyle01"/>
          <w:rFonts w:ascii="Arial" w:hAnsi="Arial" w:cs="Arial"/>
        </w:rPr>
        <w:t>herein</w:t>
      </w:r>
      <w:r w:rsidRPr="00007910" w:rsidR="002000DE">
        <w:rPr>
          <w:rStyle w:val="fontstyle01"/>
          <w:rFonts w:ascii="Arial" w:hAnsi="Arial" w:cs="Arial"/>
        </w:rPr>
        <w:t>.</w:t>
      </w:r>
    </w:p>
    <w:p w:rsidRPr="00007910" w:rsidR="002000DE" w:rsidP="00AC3E15" w:rsidRDefault="002000DE" w14:paraId="6521CFCB" w14:textId="77777777">
      <w:pPr>
        <w:pStyle w:val="ListParagraph"/>
        <w:ind w:left="0"/>
        <w:rPr>
          <w:rStyle w:val="fontstyle01"/>
          <w:rFonts w:ascii="Arial" w:hAnsi="Arial" w:cs="Arial"/>
        </w:rPr>
      </w:pPr>
    </w:p>
    <w:p w:rsidRPr="00007910" w:rsidR="009C78BC" w:rsidP="00A75E2F" w:rsidRDefault="002000DE" w14:paraId="5538F641" w14:textId="7342E5C7">
      <w:pPr>
        <w:pStyle w:val="ListParagraph"/>
        <w:ind w:left="0"/>
        <w:jc w:val="both"/>
        <w:rPr>
          <w:rStyle w:val="fontstyle01"/>
          <w:rFonts w:ascii="Arial" w:hAnsi="Arial" w:cs="Arial"/>
        </w:rPr>
      </w:pPr>
      <w:r w:rsidRPr="00007910">
        <w:rPr>
          <w:rStyle w:val="fontstyle01"/>
          <w:rFonts w:ascii="Arial" w:hAnsi="Arial" w:cs="Arial"/>
        </w:rPr>
        <w:t>Indeed, where alternatives to traditional EDC distribution lines, substations and other costs are available, the EDC’s “traditional solutions” set</w:t>
      </w:r>
      <w:r w:rsidRPr="00007910" w:rsidR="00910FB5">
        <w:rPr>
          <w:rStyle w:val="fontstyle01"/>
          <w:rFonts w:ascii="Arial" w:hAnsi="Arial" w:cs="Arial"/>
        </w:rPr>
        <w:t>s</w:t>
      </w:r>
      <w:r w:rsidRPr="00007910">
        <w:rPr>
          <w:rStyle w:val="fontstyle01"/>
          <w:rFonts w:ascii="Arial" w:hAnsi="Arial" w:cs="Arial"/>
        </w:rPr>
        <w:t xml:space="preserve"> the baseline </w:t>
      </w:r>
      <w:r w:rsidRPr="00007910" w:rsidR="00910FB5">
        <w:rPr>
          <w:rStyle w:val="fontstyle01"/>
          <w:rFonts w:ascii="Arial" w:hAnsi="Arial" w:cs="Arial"/>
        </w:rPr>
        <w:t xml:space="preserve">solution </w:t>
      </w:r>
      <w:r w:rsidRPr="00007910">
        <w:rPr>
          <w:rStyle w:val="fontstyle01"/>
          <w:rFonts w:ascii="Arial" w:hAnsi="Arial" w:cs="Arial"/>
        </w:rPr>
        <w:t xml:space="preserve">to beat in pricing and/or service quality. </w:t>
      </w:r>
      <w:r w:rsidRPr="00007910" w:rsidR="344DADC4">
        <w:rPr>
          <w:rStyle w:val="fontstyle01"/>
          <w:rFonts w:ascii="Arial" w:hAnsi="Arial" w:cs="Arial"/>
        </w:rPr>
        <w:t>The NECEC and RE</w:t>
      </w:r>
      <w:r w:rsidRPr="00007910" w:rsidR="7B155B6E">
        <w:rPr>
          <w:rStyle w:val="fontstyle01"/>
          <w:rFonts w:ascii="Arial" w:hAnsi="Arial" w:cs="Arial"/>
        </w:rPr>
        <w:t>N</w:t>
      </w:r>
      <w:r w:rsidRPr="00007910" w:rsidR="344DADC4">
        <w:rPr>
          <w:rStyle w:val="fontstyle01"/>
          <w:rFonts w:ascii="Arial" w:hAnsi="Arial" w:cs="Arial"/>
        </w:rPr>
        <w:t>EW comment</w:t>
      </w:r>
      <w:r w:rsidR="00DB211C">
        <w:rPr>
          <w:rStyle w:val="fontstyle01"/>
          <w:rFonts w:ascii="Arial" w:hAnsi="Arial" w:cs="Arial"/>
        </w:rPr>
        <w:t>s</w:t>
      </w:r>
      <w:r w:rsidRPr="00007910" w:rsidR="344DADC4">
        <w:rPr>
          <w:rStyle w:val="fontstyle01"/>
          <w:rFonts w:ascii="Arial" w:hAnsi="Arial" w:cs="Arial"/>
        </w:rPr>
        <w:t xml:space="preserve"> underlie this point as well, emphasizing that:</w:t>
      </w:r>
    </w:p>
    <w:p w:rsidRPr="00007910" w:rsidR="5FD9357B" w:rsidP="5FD9357B" w:rsidRDefault="5FD9357B" w14:paraId="24FFE77B" w14:textId="68C0053F">
      <w:pPr>
        <w:pStyle w:val="ListParagraph"/>
        <w:ind w:left="0" w:firstLine="720"/>
        <w:rPr>
          <w:rStyle w:val="fontstyle01"/>
          <w:rFonts w:ascii="Arial" w:hAnsi="Arial" w:cs="Arial"/>
        </w:rPr>
      </w:pPr>
    </w:p>
    <w:p w:rsidRPr="00007910" w:rsidR="344DADC4" w:rsidP="00D34385" w:rsidRDefault="344DADC4" w14:paraId="28DEA380" w14:textId="318BAD42">
      <w:pPr>
        <w:pStyle w:val="ListParagraph"/>
        <w:rPr>
          <w:rStyle w:val="fontstyle01"/>
          <w:rFonts w:ascii="Arial" w:hAnsi="Arial" w:cs="Arial"/>
        </w:rPr>
      </w:pPr>
      <w:r w:rsidRPr="00007910">
        <w:rPr>
          <w:rStyle w:val="fontstyle01"/>
          <w:rFonts w:ascii="Arial" w:hAnsi="Arial" w:cs="Arial"/>
        </w:rPr>
        <w:t>. . .  the NWA Framework must ensure that the EDCs’ solicitations provide for third-party solutions, and the EDCs are incented to choose the most competitive and reliable</w:t>
      </w:r>
      <w:r w:rsidRPr="00007910" w:rsidR="4BDE6F2A">
        <w:rPr>
          <w:rStyle w:val="fontstyle01"/>
          <w:rFonts w:ascii="Arial" w:hAnsi="Arial" w:cs="Arial"/>
        </w:rPr>
        <w:t xml:space="preserve"> solution regardless of who owns the NWA resources.</w:t>
      </w:r>
      <w:r w:rsidRPr="00007910">
        <w:rPr>
          <w:rStyle w:val="FootnoteReference"/>
          <w:rFonts w:cs="Arial"/>
        </w:rPr>
        <w:footnoteReference w:id="19"/>
      </w:r>
    </w:p>
    <w:p w:rsidRPr="00007910" w:rsidR="009C78BC" w:rsidP="00A75E2F" w:rsidRDefault="009C78BC" w14:paraId="539E9067" w14:textId="77777777">
      <w:pPr>
        <w:pStyle w:val="ListParagraph"/>
        <w:ind w:left="0" w:firstLine="720"/>
        <w:jc w:val="both"/>
        <w:rPr>
          <w:rStyle w:val="fontstyle01"/>
          <w:rFonts w:ascii="Arial" w:hAnsi="Arial" w:cs="Arial"/>
        </w:rPr>
      </w:pPr>
    </w:p>
    <w:p w:rsidR="00DB211C" w:rsidP="00A75E2F" w:rsidRDefault="0F79EE30" w14:paraId="78FF4A5F" w14:textId="5331BFE6">
      <w:pPr>
        <w:pStyle w:val="ListParagraph"/>
        <w:ind w:left="0"/>
        <w:jc w:val="both"/>
        <w:rPr>
          <w:rStyle w:val="fontstyle01"/>
          <w:rFonts w:ascii="Arial" w:hAnsi="Arial" w:cs="Arial"/>
        </w:rPr>
      </w:pPr>
      <w:r w:rsidRPr="00007910">
        <w:rPr>
          <w:rStyle w:val="fontstyle01"/>
          <w:rFonts w:ascii="Arial" w:hAnsi="Arial" w:cs="Arial"/>
        </w:rPr>
        <w:t>The Authority</w:t>
      </w:r>
      <w:r w:rsidRPr="00007910" w:rsidR="24F8BD94">
        <w:rPr>
          <w:rStyle w:val="fontstyle01"/>
          <w:rFonts w:ascii="Arial" w:hAnsi="Arial" w:cs="Arial"/>
        </w:rPr>
        <w:t xml:space="preserve"> acknowledges and adopts</w:t>
      </w:r>
      <w:r w:rsidRPr="00007910">
        <w:rPr>
          <w:rStyle w:val="fontstyle01"/>
          <w:rFonts w:ascii="Arial" w:hAnsi="Arial" w:cs="Arial"/>
        </w:rPr>
        <w:t xml:space="preserve"> </w:t>
      </w:r>
      <w:r w:rsidRPr="00007910" w:rsidR="4E305B91">
        <w:rPr>
          <w:rStyle w:val="fontstyle01"/>
          <w:rFonts w:ascii="Arial" w:hAnsi="Arial" w:cs="Arial"/>
        </w:rPr>
        <w:t>these two points in</w:t>
      </w:r>
      <w:r w:rsidRPr="00007910">
        <w:rPr>
          <w:rStyle w:val="fontstyle01"/>
          <w:rFonts w:ascii="Arial" w:hAnsi="Arial" w:cs="Arial"/>
        </w:rPr>
        <w:t xml:space="preserve"> NECEC’s and RENEW’s </w:t>
      </w:r>
      <w:r w:rsidRPr="00007910" w:rsidR="166EE845">
        <w:rPr>
          <w:rStyle w:val="fontstyle01"/>
          <w:rFonts w:ascii="Arial" w:hAnsi="Arial" w:cs="Arial"/>
        </w:rPr>
        <w:t>comments on the importance of competitio</w:t>
      </w:r>
      <w:r w:rsidRPr="00007910" w:rsidR="5D2152BA">
        <w:rPr>
          <w:rStyle w:val="fontstyle01"/>
          <w:rFonts w:ascii="Arial" w:hAnsi="Arial" w:cs="Arial"/>
        </w:rPr>
        <w:t>n and</w:t>
      </w:r>
      <w:r w:rsidRPr="00007910" w:rsidR="166EE845">
        <w:rPr>
          <w:rStyle w:val="fontstyle01"/>
          <w:rFonts w:ascii="Arial" w:hAnsi="Arial" w:cs="Arial"/>
        </w:rPr>
        <w:t xml:space="preserve"> openness to third-party solutions </w:t>
      </w:r>
      <w:r w:rsidRPr="00007910" w:rsidR="7AD16453">
        <w:rPr>
          <w:rStyle w:val="fontstyle01"/>
          <w:rFonts w:ascii="Arial" w:hAnsi="Arial" w:cs="Arial"/>
        </w:rPr>
        <w:t>facilitated</w:t>
      </w:r>
      <w:r w:rsidRPr="00007910" w:rsidR="166EE845">
        <w:rPr>
          <w:rStyle w:val="fontstyle01"/>
          <w:rFonts w:ascii="Arial" w:hAnsi="Arial" w:cs="Arial"/>
        </w:rPr>
        <w:t xml:space="preserve"> with thorough transparency</w:t>
      </w:r>
      <w:r w:rsidRPr="00007910" w:rsidR="302ACAAD">
        <w:rPr>
          <w:rStyle w:val="fontstyle01"/>
          <w:rFonts w:ascii="Arial" w:hAnsi="Arial" w:cs="Arial"/>
        </w:rPr>
        <w:t xml:space="preserve">. </w:t>
      </w:r>
      <w:r w:rsidRPr="00007910" w:rsidR="00AB676B">
        <w:rPr>
          <w:rStyle w:val="fontstyle01"/>
          <w:rFonts w:ascii="Arial" w:hAnsi="Arial" w:cs="Arial"/>
        </w:rPr>
        <w:t>The EDCs and t</w:t>
      </w:r>
      <w:r w:rsidRPr="00007910" w:rsidR="302ACAAD">
        <w:rPr>
          <w:rStyle w:val="fontstyle01"/>
          <w:rFonts w:ascii="Arial" w:hAnsi="Arial" w:cs="Arial"/>
        </w:rPr>
        <w:t>hird</w:t>
      </w:r>
      <w:r w:rsidR="00DB211C">
        <w:rPr>
          <w:rStyle w:val="fontstyle01"/>
          <w:rFonts w:ascii="Arial" w:hAnsi="Arial" w:cs="Arial"/>
        </w:rPr>
        <w:t xml:space="preserve"> </w:t>
      </w:r>
      <w:r w:rsidRPr="00007910" w:rsidR="302ACAAD">
        <w:rPr>
          <w:rStyle w:val="fontstyle01"/>
          <w:rFonts w:ascii="Arial" w:hAnsi="Arial" w:cs="Arial"/>
        </w:rPr>
        <w:t>parties may both have legitimate business confidentiality needs. While the Authority intends to</w:t>
      </w:r>
      <w:r w:rsidRPr="00007910" w:rsidR="57ADB722">
        <w:rPr>
          <w:rStyle w:val="fontstyle01"/>
          <w:rFonts w:ascii="Arial" w:hAnsi="Arial" w:cs="Arial"/>
        </w:rPr>
        <w:t xml:space="preserve"> establish an open and transparent process to share information on distribution system needs and costs with third</w:t>
      </w:r>
      <w:r w:rsidR="00DB211C">
        <w:rPr>
          <w:rStyle w:val="fontstyle01"/>
          <w:rFonts w:ascii="Arial" w:hAnsi="Arial" w:cs="Arial"/>
        </w:rPr>
        <w:t xml:space="preserve"> </w:t>
      </w:r>
      <w:r w:rsidRPr="00007910" w:rsidR="57ADB722">
        <w:rPr>
          <w:rStyle w:val="fontstyle01"/>
          <w:rFonts w:ascii="Arial" w:hAnsi="Arial" w:cs="Arial"/>
        </w:rPr>
        <w:t>parties and the public, it also r</w:t>
      </w:r>
      <w:r w:rsidRPr="00007910" w:rsidR="394EC70C">
        <w:rPr>
          <w:rStyle w:val="fontstyle01"/>
          <w:rFonts w:ascii="Arial" w:hAnsi="Arial" w:cs="Arial"/>
        </w:rPr>
        <w:t>ecognizes that there are proprietary technology and competitiveness concerns</w:t>
      </w:r>
      <w:r w:rsidRPr="00007910" w:rsidR="718D15D9">
        <w:rPr>
          <w:rStyle w:val="fontstyle01"/>
          <w:rFonts w:ascii="Arial" w:hAnsi="Arial" w:cs="Arial"/>
        </w:rPr>
        <w:t>. The Authority expects there to be a confidential process to identify and vet claims of business confidentiality</w:t>
      </w:r>
      <w:r w:rsidRPr="00007910" w:rsidR="2DF8C732">
        <w:rPr>
          <w:rStyle w:val="fontstyle01"/>
          <w:rFonts w:ascii="Arial" w:hAnsi="Arial" w:cs="Arial"/>
        </w:rPr>
        <w:t xml:space="preserve"> and proprietary information that may involve Third-Party Administrator referral of con</w:t>
      </w:r>
      <w:r w:rsidRPr="00007910" w:rsidR="451ABFEE">
        <w:rPr>
          <w:rStyle w:val="fontstyle01"/>
          <w:rFonts w:ascii="Arial" w:hAnsi="Arial" w:cs="Arial"/>
        </w:rPr>
        <w:t xml:space="preserve">fidentiality request to the Authority in an RFI or RFP process. </w:t>
      </w:r>
      <w:r w:rsidRPr="00007910" w:rsidR="007E1F5B">
        <w:rPr>
          <w:rStyle w:val="fontstyle01"/>
          <w:rFonts w:ascii="Arial" w:hAnsi="Arial" w:cs="Arial"/>
        </w:rPr>
        <w:t>Moreover</w:t>
      </w:r>
      <w:r w:rsidRPr="00007910" w:rsidR="451ABFEE">
        <w:rPr>
          <w:rStyle w:val="fontstyle01"/>
          <w:rFonts w:ascii="Arial" w:hAnsi="Arial" w:cs="Arial"/>
        </w:rPr>
        <w:t>, o</w:t>
      </w:r>
      <w:r w:rsidRPr="00007910" w:rsidR="009C78BC">
        <w:rPr>
          <w:rStyle w:val="fontstyle01"/>
          <w:rFonts w:ascii="Arial" w:hAnsi="Arial" w:cs="Arial"/>
        </w:rPr>
        <w:t xml:space="preserve">nce a final project is selected and </w:t>
      </w:r>
      <w:r w:rsidR="00DB211C">
        <w:rPr>
          <w:rStyle w:val="fontstyle01"/>
          <w:rFonts w:ascii="Arial" w:hAnsi="Arial" w:cs="Arial"/>
        </w:rPr>
        <w:t xml:space="preserve">a </w:t>
      </w:r>
      <w:r w:rsidRPr="00007910" w:rsidR="009C78BC">
        <w:rPr>
          <w:rStyle w:val="fontstyle01"/>
          <w:rFonts w:ascii="Arial" w:hAnsi="Arial" w:cs="Arial"/>
        </w:rPr>
        <w:t>contract is negotiated, it may be appropriate to qualify proprietary technology performance and pricing as confidential</w:t>
      </w:r>
      <w:r w:rsidRPr="00007910" w:rsidR="0043398A">
        <w:rPr>
          <w:rStyle w:val="fontstyle01"/>
          <w:rFonts w:ascii="Arial" w:hAnsi="Arial" w:cs="Arial"/>
        </w:rPr>
        <w:t>,</w:t>
      </w:r>
      <w:r w:rsidRPr="00007910" w:rsidR="009C78BC">
        <w:rPr>
          <w:rStyle w:val="fontstyle01"/>
          <w:rFonts w:ascii="Arial" w:hAnsi="Arial" w:cs="Arial"/>
        </w:rPr>
        <w:t xml:space="preserve"> if necessary</w:t>
      </w:r>
      <w:r w:rsidRPr="00007910" w:rsidR="0043398A">
        <w:rPr>
          <w:rStyle w:val="fontstyle01"/>
          <w:rFonts w:ascii="Arial" w:hAnsi="Arial" w:cs="Arial"/>
        </w:rPr>
        <w:t>,</w:t>
      </w:r>
      <w:r w:rsidRPr="00007910" w:rsidR="009C78BC">
        <w:rPr>
          <w:rStyle w:val="fontstyle01"/>
          <w:rFonts w:ascii="Arial" w:hAnsi="Arial" w:cs="Arial"/>
        </w:rPr>
        <w:t xml:space="preserve"> to procure deployment of such technologies in a Connecticut NWA project. </w:t>
      </w:r>
    </w:p>
    <w:p w:rsidRPr="00007910" w:rsidR="00CD30B1" w:rsidP="00A75E2F" w:rsidRDefault="00CD30B1" w14:paraId="25553C42" w14:textId="7B14D0FA">
      <w:pPr>
        <w:pStyle w:val="ListParagraph"/>
        <w:ind w:left="0"/>
        <w:rPr>
          <w:rStyle w:val="fontstyle01"/>
          <w:rFonts w:ascii="Arial" w:hAnsi="Arial" w:cs="Arial"/>
        </w:rPr>
      </w:pPr>
    </w:p>
    <w:p w:rsidRPr="00007910" w:rsidR="00F9055E" w:rsidP="00F0374A" w:rsidRDefault="00F9055E" w14:paraId="0F7014BC" w14:textId="7FFC0022">
      <w:pPr>
        <w:pStyle w:val="ListParagraph"/>
        <w:numPr>
          <w:ilvl w:val="1"/>
          <w:numId w:val="4"/>
        </w:numPr>
        <w:rPr>
          <w:rStyle w:val="fontstyle01"/>
          <w:rFonts w:ascii="Arial" w:hAnsi="Arial" w:cs="Arial"/>
          <w:b/>
          <w:bCs/>
        </w:rPr>
      </w:pPr>
      <w:r w:rsidRPr="00007910">
        <w:rPr>
          <w:rStyle w:val="fontstyle01"/>
          <w:rFonts w:ascii="Arial" w:hAnsi="Arial" w:cs="Arial"/>
          <w:b/>
          <w:bCs/>
        </w:rPr>
        <w:t xml:space="preserve">Equal Playing Field for Ratepayers to Keep Costs </w:t>
      </w:r>
      <w:r w:rsidRPr="00007910" w:rsidR="00E17C51">
        <w:rPr>
          <w:rStyle w:val="fontstyle01"/>
          <w:rFonts w:ascii="Arial" w:hAnsi="Arial" w:cs="Arial"/>
          <w:b/>
          <w:bCs/>
        </w:rPr>
        <w:t>Down</w:t>
      </w:r>
    </w:p>
    <w:p w:rsidRPr="00007910" w:rsidR="00992257" w:rsidP="00A75E2F" w:rsidRDefault="00992257" w14:paraId="73361A24" w14:textId="68A1F2B7">
      <w:pPr>
        <w:jc w:val="both"/>
        <w:rPr>
          <w:rStyle w:val="fontstyle01"/>
          <w:rFonts w:ascii="Arial" w:hAnsi="Arial" w:cs="Arial"/>
        </w:rPr>
      </w:pPr>
      <w:r w:rsidRPr="00007910">
        <w:rPr>
          <w:rStyle w:val="fontstyle01"/>
          <w:rFonts w:ascii="Arial" w:hAnsi="Arial" w:cs="Arial"/>
        </w:rPr>
        <w:t>The goal of reducing ratepayer costs necessitate</w:t>
      </w:r>
      <w:r w:rsidRPr="00007910" w:rsidR="00E17C51">
        <w:rPr>
          <w:rStyle w:val="fontstyle01"/>
          <w:rFonts w:ascii="Arial" w:hAnsi="Arial" w:cs="Arial"/>
        </w:rPr>
        <w:t>s</w:t>
      </w:r>
      <w:r w:rsidRPr="00007910">
        <w:rPr>
          <w:rStyle w:val="fontstyle01"/>
          <w:rFonts w:ascii="Arial" w:hAnsi="Arial" w:cs="Arial"/>
        </w:rPr>
        <w:t xml:space="preserve"> comparing bid NWA expenses against </w:t>
      </w:r>
      <w:r w:rsidRPr="00007910" w:rsidR="008B21C1">
        <w:rPr>
          <w:rStyle w:val="fontstyle01"/>
          <w:rFonts w:ascii="Arial" w:hAnsi="Arial" w:cs="Arial"/>
        </w:rPr>
        <w:t>likely</w:t>
      </w:r>
      <w:r w:rsidRPr="00007910">
        <w:rPr>
          <w:rStyle w:val="fontstyle01"/>
          <w:rFonts w:ascii="Arial" w:hAnsi="Arial" w:cs="Arial"/>
        </w:rPr>
        <w:t xml:space="preserve"> EDC </w:t>
      </w:r>
      <w:r w:rsidRPr="00007910" w:rsidR="00E17C51">
        <w:rPr>
          <w:rStyle w:val="fontstyle01"/>
          <w:rFonts w:ascii="Arial" w:hAnsi="Arial" w:cs="Arial"/>
        </w:rPr>
        <w:t xml:space="preserve">and ultimate customer </w:t>
      </w:r>
      <w:r w:rsidRPr="00007910">
        <w:rPr>
          <w:rStyle w:val="fontstyle01"/>
          <w:rFonts w:ascii="Arial" w:hAnsi="Arial" w:cs="Arial"/>
        </w:rPr>
        <w:t xml:space="preserve">expenses for a traditional utility solution. For purposes of the Third-Party Administrator comparisons and the Authority’s consideration, the costs that ratepayers would be most likely to incur in the revenue requirement will be used for an accurate </w:t>
      </w:r>
      <w:r w:rsidR="00DB211C">
        <w:rPr>
          <w:rStyle w:val="fontstyle01"/>
          <w:rFonts w:ascii="Arial" w:hAnsi="Arial" w:cs="Arial"/>
        </w:rPr>
        <w:t>dollar-to-dollar</w:t>
      </w:r>
      <w:r w:rsidRPr="00007910">
        <w:rPr>
          <w:rStyle w:val="fontstyle01"/>
          <w:rFonts w:ascii="Arial" w:hAnsi="Arial" w:cs="Arial"/>
        </w:rPr>
        <w:t xml:space="preserve"> comparison of alternatives.</w:t>
      </w:r>
    </w:p>
    <w:p w:rsidRPr="00007910" w:rsidR="00F9055E" w:rsidP="00A75E2F" w:rsidRDefault="00F9055E" w14:paraId="72ACDB98" w14:textId="04736215">
      <w:pPr>
        <w:jc w:val="both"/>
        <w:rPr>
          <w:rStyle w:val="fontstyle01"/>
          <w:rFonts w:ascii="Arial" w:hAnsi="Arial" w:cs="Arial"/>
        </w:rPr>
      </w:pPr>
      <w:r w:rsidRPr="00007910">
        <w:rPr>
          <w:rStyle w:val="fontstyle01"/>
          <w:rFonts w:ascii="Arial" w:hAnsi="Arial" w:cs="Arial"/>
        </w:rPr>
        <w:t xml:space="preserve">In making the calculation of potential savings for ratepayers in costs to be avoided through an NWA, the traditional utility solution may be calculated from the year of implementation that the Authority determines is reasonable to initiate when the traditional solution would be added to </w:t>
      </w:r>
      <w:r w:rsidRPr="00007910" w:rsidR="008B21C1">
        <w:rPr>
          <w:rStyle w:val="fontstyle01"/>
          <w:rFonts w:ascii="Arial" w:hAnsi="Arial" w:cs="Arial"/>
        </w:rPr>
        <w:t>rate base</w:t>
      </w:r>
      <w:r w:rsidRPr="00007910">
        <w:rPr>
          <w:rStyle w:val="fontstyle01"/>
          <w:rFonts w:ascii="Arial" w:hAnsi="Arial" w:cs="Arial"/>
        </w:rPr>
        <w:t xml:space="preserve">. </w:t>
      </w:r>
      <w:r w:rsidRPr="00007910" w:rsidR="00E17C51">
        <w:rPr>
          <w:rStyle w:val="fontstyle01"/>
          <w:rFonts w:ascii="Arial" w:hAnsi="Arial" w:cs="Arial"/>
        </w:rPr>
        <w:t>Because ratepayers typically pay for all utility revenue, including rates of return, t</w:t>
      </w:r>
      <w:r w:rsidRPr="00007910">
        <w:rPr>
          <w:rStyle w:val="fontstyle01"/>
          <w:rFonts w:ascii="Arial" w:hAnsi="Arial" w:cs="Arial"/>
        </w:rPr>
        <w:t xml:space="preserve">he calculation of EDC capital and operational expenses savings for </w:t>
      </w:r>
      <w:r w:rsidRPr="00007910">
        <w:rPr>
          <w:rStyle w:val="fontstyle01"/>
          <w:rFonts w:ascii="Arial" w:hAnsi="Arial" w:cs="Arial"/>
        </w:rPr>
        <w:lastRenderedPageBreak/>
        <w:t xml:space="preserve">customers may include the EDC’s approved rate of return on capital components, any requested rate of return pending, </w:t>
      </w:r>
      <w:r w:rsidRPr="00007910" w:rsidR="00992257">
        <w:rPr>
          <w:rStyle w:val="fontstyle01"/>
          <w:rFonts w:ascii="Arial" w:hAnsi="Arial" w:cs="Arial"/>
        </w:rPr>
        <w:t xml:space="preserve">any </w:t>
      </w:r>
      <w:r w:rsidRPr="00007910" w:rsidR="008B21C1">
        <w:rPr>
          <w:rStyle w:val="fontstyle01"/>
          <w:rFonts w:ascii="Arial" w:hAnsi="Arial" w:cs="Arial"/>
        </w:rPr>
        <w:t>amortization</w:t>
      </w:r>
      <w:r w:rsidRPr="00007910">
        <w:rPr>
          <w:rStyle w:val="fontstyle01"/>
          <w:rFonts w:ascii="Arial" w:hAnsi="Arial" w:cs="Arial"/>
        </w:rPr>
        <w:t>/depreciation expense</w:t>
      </w:r>
      <w:r w:rsidRPr="00007910" w:rsidR="004A4CC6">
        <w:rPr>
          <w:rStyle w:val="fontstyle01"/>
          <w:rFonts w:ascii="Arial" w:hAnsi="Arial" w:cs="Arial"/>
        </w:rPr>
        <w:t>,</w:t>
      </w:r>
      <w:r w:rsidRPr="00007910">
        <w:rPr>
          <w:rStyle w:val="fontstyle01"/>
          <w:rFonts w:ascii="Arial" w:hAnsi="Arial" w:cs="Arial"/>
        </w:rPr>
        <w:t xml:space="preserve"> and operation expenses</w:t>
      </w:r>
      <w:r w:rsidRPr="00007910" w:rsidR="00992257">
        <w:rPr>
          <w:rStyle w:val="fontstyle01"/>
          <w:rFonts w:ascii="Arial" w:hAnsi="Arial" w:cs="Arial"/>
        </w:rPr>
        <w:t xml:space="preserve"> approved or pending</w:t>
      </w:r>
      <w:r w:rsidRPr="00007910">
        <w:rPr>
          <w:rStyle w:val="fontstyle01"/>
          <w:rFonts w:ascii="Arial" w:hAnsi="Arial" w:cs="Arial"/>
        </w:rPr>
        <w:t xml:space="preserve"> as if the traditional solution were included in EDC </w:t>
      </w:r>
      <w:r w:rsidRPr="00007910" w:rsidR="008B21C1">
        <w:rPr>
          <w:rStyle w:val="fontstyle01"/>
          <w:rFonts w:ascii="Arial" w:hAnsi="Arial" w:cs="Arial"/>
        </w:rPr>
        <w:t>rate base</w:t>
      </w:r>
      <w:r w:rsidRPr="00007910">
        <w:rPr>
          <w:rStyle w:val="fontstyle01"/>
          <w:rFonts w:ascii="Arial" w:hAnsi="Arial" w:cs="Arial"/>
        </w:rPr>
        <w:t xml:space="preserve">. </w:t>
      </w:r>
    </w:p>
    <w:p w:rsidRPr="00007910" w:rsidR="00E17C51" w:rsidP="00A75E2F" w:rsidRDefault="00E17C51" w14:paraId="7BAECA69" w14:textId="32C7C947">
      <w:pPr>
        <w:jc w:val="both"/>
        <w:rPr>
          <w:rStyle w:val="fontstyle01"/>
          <w:rFonts w:ascii="Arial" w:hAnsi="Arial" w:cs="Arial"/>
          <w:b/>
          <w:bCs/>
        </w:rPr>
      </w:pPr>
      <w:r w:rsidRPr="00007910">
        <w:rPr>
          <w:rStyle w:val="fontstyle01"/>
          <w:rFonts w:ascii="Arial" w:hAnsi="Arial" w:cs="Arial"/>
        </w:rPr>
        <w:t>The possible ratepayer savings are substantial given the likelihood that most NWA</w:t>
      </w:r>
      <w:r w:rsidR="00DB211C">
        <w:rPr>
          <w:rStyle w:val="fontstyle01"/>
          <w:rFonts w:ascii="Arial" w:hAnsi="Arial" w:cs="Arial"/>
        </w:rPr>
        <w:t>s</w:t>
      </w:r>
      <w:r w:rsidRPr="00007910">
        <w:rPr>
          <w:rStyle w:val="fontstyle01"/>
          <w:rFonts w:ascii="Arial" w:hAnsi="Arial" w:cs="Arial"/>
        </w:rPr>
        <w:t xml:space="preserve"> will be operation expenses rather than capital expenses and therefore not subject to utility rate of return, amortization, and depreciation expense each year.</w:t>
      </w:r>
    </w:p>
    <w:p w:rsidRPr="00007910" w:rsidR="002000DE" w:rsidP="00F0374A" w:rsidRDefault="002000DE" w14:paraId="397CEEB5" w14:textId="499F11B1">
      <w:pPr>
        <w:pStyle w:val="ListParagraph"/>
        <w:numPr>
          <w:ilvl w:val="1"/>
          <w:numId w:val="4"/>
        </w:numPr>
        <w:rPr>
          <w:rStyle w:val="fontstyle01"/>
          <w:rFonts w:ascii="Arial" w:hAnsi="Arial" w:cs="Arial"/>
          <w:b/>
          <w:bCs/>
        </w:rPr>
      </w:pPr>
      <w:r w:rsidRPr="00007910">
        <w:rPr>
          <w:rStyle w:val="fontstyle01"/>
          <w:rFonts w:ascii="Arial" w:hAnsi="Arial" w:cs="Arial"/>
          <w:b/>
          <w:bCs/>
        </w:rPr>
        <w:t>Participation of NWA Resources in Other Programs and Markets</w:t>
      </w:r>
      <w:r w:rsidRPr="00007910" w:rsidR="00E5244D">
        <w:rPr>
          <w:rStyle w:val="FootnoteReference"/>
          <w:rFonts w:cs="Arial"/>
          <w:b/>
          <w:bCs/>
          <w:color w:val="000000"/>
          <w:szCs w:val="24"/>
        </w:rPr>
        <w:footnoteReference w:id="20"/>
      </w:r>
    </w:p>
    <w:p w:rsidRPr="00007910" w:rsidR="004C01AC" w:rsidP="00A75E2F" w:rsidRDefault="002000DE" w14:paraId="1904491A" w14:textId="27E945E7">
      <w:pPr>
        <w:jc w:val="both"/>
        <w:rPr>
          <w:rStyle w:val="fontstyle01"/>
          <w:rFonts w:ascii="Arial" w:hAnsi="Arial" w:cs="Arial"/>
        </w:rPr>
      </w:pPr>
      <w:r w:rsidRPr="00007910">
        <w:rPr>
          <w:rStyle w:val="fontstyle01"/>
          <w:rFonts w:ascii="Arial" w:hAnsi="Arial" w:cs="Arial"/>
        </w:rPr>
        <w:t xml:space="preserve">The ability </w:t>
      </w:r>
      <w:r w:rsidRPr="00007910" w:rsidR="00A3073A">
        <w:rPr>
          <w:rStyle w:val="fontstyle01"/>
          <w:rFonts w:ascii="Arial" w:hAnsi="Arial" w:cs="Arial"/>
        </w:rPr>
        <w:t>of</w:t>
      </w:r>
      <w:r w:rsidRPr="00007910">
        <w:rPr>
          <w:rStyle w:val="fontstyle01"/>
          <w:rFonts w:ascii="Arial" w:hAnsi="Arial" w:cs="Arial"/>
        </w:rPr>
        <w:t xml:space="preserve"> NWA resources to participat</w:t>
      </w:r>
      <w:r w:rsidRPr="00007910" w:rsidR="00E17C51">
        <w:rPr>
          <w:rStyle w:val="fontstyle01"/>
          <w:rFonts w:ascii="Arial" w:hAnsi="Arial" w:cs="Arial"/>
        </w:rPr>
        <w:t>e</w:t>
      </w:r>
      <w:r w:rsidRPr="00007910">
        <w:rPr>
          <w:rStyle w:val="fontstyle01"/>
          <w:rFonts w:ascii="Arial" w:hAnsi="Arial" w:cs="Arial"/>
        </w:rPr>
        <w:t xml:space="preserve"> in other markets and program</w:t>
      </w:r>
      <w:r w:rsidRPr="00007910" w:rsidR="00E17C51">
        <w:rPr>
          <w:rStyle w:val="fontstyle01"/>
          <w:rFonts w:ascii="Arial" w:hAnsi="Arial" w:cs="Arial"/>
        </w:rPr>
        <w:t>s</w:t>
      </w:r>
      <w:r w:rsidRPr="00007910">
        <w:rPr>
          <w:rStyle w:val="fontstyle01"/>
          <w:rFonts w:ascii="Arial" w:hAnsi="Arial" w:cs="Arial"/>
        </w:rPr>
        <w:t xml:space="preserve"> is important </w:t>
      </w:r>
      <w:r w:rsidRPr="00007910" w:rsidR="00F92E2D">
        <w:rPr>
          <w:rStyle w:val="fontstyle01"/>
          <w:rFonts w:ascii="Arial" w:hAnsi="Arial" w:cs="Arial"/>
        </w:rPr>
        <w:t xml:space="preserve">in realizing </w:t>
      </w:r>
      <w:r w:rsidRPr="00007910">
        <w:rPr>
          <w:rStyle w:val="fontstyle01"/>
          <w:rFonts w:ascii="Arial" w:hAnsi="Arial" w:cs="Arial"/>
        </w:rPr>
        <w:t xml:space="preserve">their value </w:t>
      </w:r>
      <w:r w:rsidRPr="00007910" w:rsidR="00F92E2D">
        <w:rPr>
          <w:rStyle w:val="fontstyle01"/>
          <w:rFonts w:ascii="Arial" w:hAnsi="Arial" w:cs="Arial"/>
        </w:rPr>
        <w:t xml:space="preserve">at </w:t>
      </w:r>
      <w:r w:rsidRPr="00007910">
        <w:rPr>
          <w:rStyle w:val="fontstyle01"/>
          <w:rFonts w:ascii="Arial" w:hAnsi="Arial" w:cs="Arial"/>
        </w:rPr>
        <w:t>each level of the grid. Some DERs provide services</w:t>
      </w:r>
      <w:r w:rsidRPr="00007910" w:rsidR="006B7F0D">
        <w:rPr>
          <w:rStyle w:val="fontstyle01"/>
          <w:rFonts w:ascii="Arial" w:hAnsi="Arial" w:cs="Arial"/>
        </w:rPr>
        <w:t>,</w:t>
      </w:r>
      <w:r w:rsidRPr="00007910">
        <w:rPr>
          <w:rStyle w:val="fontstyle01"/>
          <w:rFonts w:ascii="Arial" w:hAnsi="Arial" w:cs="Arial"/>
        </w:rPr>
        <w:t xml:space="preserve"> in addition to </w:t>
      </w:r>
      <w:r w:rsidRPr="00007910" w:rsidR="00E17C51">
        <w:rPr>
          <w:rStyle w:val="fontstyle01"/>
          <w:rFonts w:ascii="Arial" w:hAnsi="Arial" w:cs="Arial"/>
        </w:rPr>
        <w:t>value as NWAs</w:t>
      </w:r>
      <w:r w:rsidRPr="00007910" w:rsidR="006B7F0D">
        <w:rPr>
          <w:rStyle w:val="fontstyle01"/>
          <w:rFonts w:ascii="Arial" w:hAnsi="Arial" w:cs="Arial"/>
        </w:rPr>
        <w:t>,</w:t>
      </w:r>
      <w:r w:rsidRPr="00007910" w:rsidR="00E17C51">
        <w:rPr>
          <w:rStyle w:val="fontstyle01"/>
          <w:rFonts w:ascii="Arial" w:hAnsi="Arial" w:cs="Arial"/>
        </w:rPr>
        <w:t xml:space="preserve"> </w:t>
      </w:r>
      <w:r w:rsidRPr="00007910">
        <w:rPr>
          <w:rStyle w:val="fontstyle01"/>
          <w:rFonts w:ascii="Arial" w:hAnsi="Arial" w:cs="Arial"/>
        </w:rPr>
        <w:t>to distribution infrastructure</w:t>
      </w:r>
      <w:r w:rsidRPr="00007910" w:rsidR="004C01AC">
        <w:rPr>
          <w:rStyle w:val="fontstyle01"/>
          <w:rFonts w:ascii="Arial" w:hAnsi="Arial" w:cs="Arial"/>
        </w:rPr>
        <w:t>.</w:t>
      </w:r>
    </w:p>
    <w:p w:rsidRPr="00007910" w:rsidR="00993756" w:rsidP="00A75E2F" w:rsidRDefault="004C01AC" w14:paraId="41A72ADA" w14:textId="2F6CDD47">
      <w:pPr>
        <w:jc w:val="both"/>
        <w:rPr>
          <w:rStyle w:val="fontstyle01"/>
          <w:rFonts w:ascii="Arial" w:hAnsi="Arial" w:cs="Arial"/>
        </w:rPr>
      </w:pPr>
      <w:r w:rsidRPr="00007910">
        <w:rPr>
          <w:rStyle w:val="fontstyle01"/>
          <w:rFonts w:ascii="Arial" w:hAnsi="Arial" w:cs="Arial"/>
        </w:rPr>
        <w:t xml:space="preserve">To realize the value that may </w:t>
      </w:r>
      <w:r w:rsidRPr="00007910" w:rsidR="00E17C51">
        <w:rPr>
          <w:rStyle w:val="fontstyle01"/>
          <w:rFonts w:ascii="Arial" w:hAnsi="Arial" w:cs="Arial"/>
        </w:rPr>
        <w:t>exist from multiple value streams</w:t>
      </w:r>
      <w:r w:rsidRPr="00007910">
        <w:rPr>
          <w:rStyle w:val="fontstyle01"/>
          <w:rFonts w:ascii="Arial" w:hAnsi="Arial" w:cs="Arial"/>
        </w:rPr>
        <w:t>, designing NWA</w:t>
      </w:r>
      <w:r w:rsidRPr="00007910" w:rsidR="00E17C51">
        <w:rPr>
          <w:rStyle w:val="fontstyle01"/>
          <w:rFonts w:ascii="Arial" w:hAnsi="Arial" w:cs="Arial"/>
        </w:rPr>
        <w:t>s</w:t>
      </w:r>
      <w:r w:rsidRPr="00007910">
        <w:rPr>
          <w:rStyle w:val="fontstyle01"/>
          <w:rFonts w:ascii="Arial" w:hAnsi="Arial" w:cs="Arial"/>
        </w:rPr>
        <w:t xml:space="preserve"> to procure distribution value for EDC functions and EDC ratepayer</w:t>
      </w:r>
      <w:r w:rsidRPr="00007910" w:rsidR="00E17C51">
        <w:rPr>
          <w:rStyle w:val="fontstyle01"/>
          <w:rFonts w:ascii="Arial" w:hAnsi="Arial" w:cs="Arial"/>
        </w:rPr>
        <w:t>s</w:t>
      </w:r>
      <w:r w:rsidRPr="00007910">
        <w:rPr>
          <w:rStyle w:val="fontstyle01"/>
          <w:rFonts w:ascii="Arial" w:hAnsi="Arial" w:cs="Arial"/>
        </w:rPr>
        <w:t xml:space="preserve"> </w:t>
      </w:r>
      <w:r w:rsidR="00BB1F1D">
        <w:rPr>
          <w:rStyle w:val="fontstyle01"/>
          <w:rFonts w:ascii="Arial" w:hAnsi="Arial" w:cs="Arial"/>
        </w:rPr>
        <w:t>while</w:t>
      </w:r>
      <w:r w:rsidRPr="00007910" w:rsidR="00BB1F1D">
        <w:rPr>
          <w:rStyle w:val="fontstyle01"/>
          <w:rFonts w:ascii="Arial" w:hAnsi="Arial" w:cs="Arial"/>
        </w:rPr>
        <w:t xml:space="preserve"> </w:t>
      </w:r>
      <w:r w:rsidRPr="00007910">
        <w:rPr>
          <w:rStyle w:val="fontstyle01"/>
          <w:rFonts w:ascii="Arial" w:hAnsi="Arial" w:cs="Arial"/>
        </w:rPr>
        <w:t>also allow</w:t>
      </w:r>
      <w:r w:rsidR="00BB1F1D">
        <w:rPr>
          <w:rStyle w:val="fontstyle01"/>
          <w:rFonts w:ascii="Arial" w:hAnsi="Arial" w:cs="Arial"/>
        </w:rPr>
        <w:t>ing</w:t>
      </w:r>
      <w:r w:rsidRPr="00007910">
        <w:rPr>
          <w:rStyle w:val="fontstyle01"/>
          <w:rFonts w:ascii="Arial" w:hAnsi="Arial" w:cs="Arial"/>
        </w:rPr>
        <w:t xml:space="preserve"> for other uses that are complementary and non-exclusive</w:t>
      </w:r>
      <w:r w:rsidRPr="00007910" w:rsidR="005F1041">
        <w:rPr>
          <w:rStyle w:val="fontstyle01"/>
          <w:rFonts w:ascii="Arial" w:hAnsi="Arial" w:cs="Arial"/>
        </w:rPr>
        <w:t>,</w:t>
      </w:r>
      <w:r w:rsidRPr="00007910">
        <w:rPr>
          <w:rStyle w:val="fontstyle01"/>
          <w:rFonts w:ascii="Arial" w:hAnsi="Arial" w:cs="Arial"/>
        </w:rPr>
        <w:t xml:space="preserve"> will reduce the costs of these NWA </w:t>
      </w:r>
      <w:r w:rsidRPr="00007910" w:rsidR="00E17C51">
        <w:rPr>
          <w:rStyle w:val="fontstyle01"/>
          <w:rFonts w:ascii="Arial" w:hAnsi="Arial" w:cs="Arial"/>
        </w:rPr>
        <w:t>solutions</w:t>
      </w:r>
      <w:r w:rsidRPr="00007910">
        <w:rPr>
          <w:rStyle w:val="fontstyle01"/>
          <w:rFonts w:ascii="Arial" w:hAnsi="Arial" w:cs="Arial"/>
        </w:rPr>
        <w:t xml:space="preserve"> and improve the potential customer value.  </w:t>
      </w:r>
    </w:p>
    <w:p w:rsidRPr="00007910" w:rsidR="00993756" w:rsidP="00A75E2F" w:rsidRDefault="00993756" w14:paraId="0ED9D771" w14:textId="67860382">
      <w:pPr>
        <w:jc w:val="both"/>
        <w:rPr>
          <w:rStyle w:val="fontstyle01"/>
          <w:rFonts w:ascii="Arial" w:hAnsi="Arial" w:cs="Arial"/>
        </w:rPr>
      </w:pPr>
      <w:r w:rsidRPr="00007910">
        <w:rPr>
          <w:rStyle w:val="fontstyle01"/>
          <w:rFonts w:ascii="Arial" w:hAnsi="Arial" w:cs="Arial"/>
        </w:rPr>
        <w:t xml:space="preserve">For example, </w:t>
      </w:r>
      <w:r w:rsidRPr="00007910" w:rsidR="004B6F37">
        <w:rPr>
          <w:rStyle w:val="fontstyle01"/>
          <w:rFonts w:ascii="Arial" w:hAnsi="Arial" w:cs="Arial"/>
        </w:rPr>
        <w:t xml:space="preserve">in Vermont, </w:t>
      </w:r>
      <w:r w:rsidRPr="00007910" w:rsidR="004C01AC">
        <w:rPr>
          <w:rStyle w:val="fontstyle01"/>
          <w:rFonts w:ascii="Arial" w:hAnsi="Arial" w:cs="Arial"/>
        </w:rPr>
        <w:t>Green Mountain Power’s batter</w:t>
      </w:r>
      <w:r w:rsidRPr="00007910" w:rsidR="00E17C51">
        <w:rPr>
          <w:rStyle w:val="fontstyle01"/>
          <w:rFonts w:ascii="Arial" w:hAnsi="Arial" w:cs="Arial"/>
        </w:rPr>
        <w:t xml:space="preserve">y programs </w:t>
      </w:r>
      <w:r w:rsidRPr="00007910" w:rsidR="004C01AC">
        <w:rPr>
          <w:rStyle w:val="fontstyle01"/>
          <w:rFonts w:ascii="Arial" w:hAnsi="Arial" w:cs="Arial"/>
        </w:rPr>
        <w:t>provide distribution system support as well as provide a power supply hedging resou</w:t>
      </w:r>
      <w:r w:rsidRPr="00007910" w:rsidR="00E17C51">
        <w:rPr>
          <w:rStyle w:val="fontstyle01"/>
          <w:rFonts w:ascii="Arial" w:hAnsi="Arial" w:cs="Arial"/>
        </w:rPr>
        <w:t>r</w:t>
      </w:r>
      <w:r w:rsidRPr="00007910" w:rsidR="004C01AC">
        <w:rPr>
          <w:rStyle w:val="fontstyle01"/>
          <w:rFonts w:ascii="Arial" w:hAnsi="Arial" w:cs="Arial"/>
        </w:rPr>
        <w:t xml:space="preserve">ce </w:t>
      </w:r>
      <w:r w:rsidRPr="00007910" w:rsidR="00E17C51">
        <w:rPr>
          <w:rStyle w:val="fontstyle01"/>
          <w:rFonts w:ascii="Arial" w:hAnsi="Arial" w:cs="Arial"/>
        </w:rPr>
        <w:t>for</w:t>
      </w:r>
      <w:r w:rsidRPr="00007910" w:rsidR="004C01AC">
        <w:rPr>
          <w:rStyle w:val="fontstyle01"/>
          <w:rFonts w:ascii="Arial" w:hAnsi="Arial" w:cs="Arial"/>
        </w:rPr>
        <w:t xml:space="preserve"> GMP and provide customers with back</w:t>
      </w:r>
      <w:r w:rsidR="00BB1F1D">
        <w:rPr>
          <w:rStyle w:val="fontstyle01"/>
          <w:rFonts w:ascii="Arial" w:hAnsi="Arial" w:cs="Arial"/>
        </w:rPr>
        <w:t>-</w:t>
      </w:r>
      <w:r w:rsidRPr="00007910" w:rsidR="004C01AC">
        <w:rPr>
          <w:rStyle w:val="fontstyle01"/>
          <w:rFonts w:ascii="Arial" w:hAnsi="Arial" w:cs="Arial"/>
        </w:rPr>
        <w:t>up power support during storm outages.</w:t>
      </w:r>
      <w:r w:rsidRPr="00007910" w:rsidR="00077EAC">
        <w:rPr>
          <w:rStyle w:val="FootnoteReference"/>
          <w:rFonts w:cs="Arial"/>
          <w:color w:val="000000"/>
          <w:szCs w:val="24"/>
        </w:rPr>
        <w:footnoteReference w:id="21"/>
      </w:r>
      <w:r w:rsidRPr="00007910" w:rsidR="004C01AC">
        <w:rPr>
          <w:rStyle w:val="fontstyle01"/>
          <w:rFonts w:ascii="Arial" w:hAnsi="Arial" w:cs="Arial"/>
        </w:rPr>
        <w:t xml:space="preserve"> Each use is non-exclusive, distribution system support and supply hedging support </w:t>
      </w:r>
      <w:r w:rsidR="00BB1F1D">
        <w:rPr>
          <w:rStyle w:val="fontstyle01"/>
          <w:rFonts w:ascii="Arial" w:hAnsi="Arial" w:cs="Arial"/>
        </w:rPr>
        <w:t xml:space="preserve">for </w:t>
      </w:r>
      <w:r w:rsidRPr="00007910" w:rsidR="004C01AC">
        <w:rPr>
          <w:rStyle w:val="fontstyle01"/>
          <w:rFonts w:ascii="Arial" w:hAnsi="Arial" w:cs="Arial"/>
        </w:rPr>
        <w:t xml:space="preserve">GMP’s </w:t>
      </w:r>
      <w:r w:rsidRPr="00007910" w:rsidR="00E17C51">
        <w:rPr>
          <w:rStyle w:val="fontstyle01"/>
          <w:rFonts w:ascii="Arial" w:hAnsi="Arial" w:cs="Arial"/>
        </w:rPr>
        <w:t xml:space="preserve">operations and </w:t>
      </w:r>
      <w:r w:rsidRPr="00007910" w:rsidR="004C01AC">
        <w:rPr>
          <w:rStyle w:val="fontstyle01"/>
          <w:rFonts w:ascii="Arial" w:hAnsi="Arial" w:cs="Arial"/>
        </w:rPr>
        <w:t xml:space="preserve">economics, reduce costs and </w:t>
      </w:r>
      <w:r w:rsidRPr="00007910">
        <w:rPr>
          <w:rStyle w:val="fontstyle01"/>
          <w:rFonts w:ascii="Arial" w:hAnsi="Arial" w:cs="Arial"/>
        </w:rPr>
        <w:t>therefore also assist ratepayers</w:t>
      </w:r>
      <w:r w:rsidRPr="00007910" w:rsidR="00E17C51">
        <w:rPr>
          <w:rStyle w:val="fontstyle01"/>
          <w:rFonts w:ascii="Arial" w:hAnsi="Arial" w:cs="Arial"/>
        </w:rPr>
        <w:t xml:space="preserve"> in grid reliability and cost-reductions</w:t>
      </w:r>
      <w:r w:rsidRPr="00007910" w:rsidR="00C6184E">
        <w:rPr>
          <w:rStyle w:val="fontstyle01"/>
          <w:rFonts w:ascii="Arial" w:hAnsi="Arial" w:cs="Arial"/>
        </w:rPr>
        <w:t xml:space="preserve">. The same batteries provide </w:t>
      </w:r>
      <w:r w:rsidRPr="00007910">
        <w:rPr>
          <w:rStyle w:val="fontstyle01"/>
          <w:rFonts w:ascii="Arial" w:hAnsi="Arial" w:cs="Arial"/>
        </w:rPr>
        <w:t xml:space="preserve">the customer </w:t>
      </w:r>
      <w:r w:rsidRPr="00007910" w:rsidR="00C6184E">
        <w:rPr>
          <w:rStyle w:val="fontstyle01"/>
          <w:rFonts w:ascii="Arial" w:hAnsi="Arial" w:cs="Arial"/>
        </w:rPr>
        <w:t xml:space="preserve">with </w:t>
      </w:r>
      <w:r w:rsidRPr="00007910">
        <w:rPr>
          <w:rStyle w:val="fontstyle01"/>
          <w:rFonts w:ascii="Arial" w:hAnsi="Arial" w:cs="Arial"/>
        </w:rPr>
        <w:t>storm back</w:t>
      </w:r>
      <w:r w:rsidR="00BB1F1D">
        <w:rPr>
          <w:rStyle w:val="fontstyle01"/>
          <w:rFonts w:ascii="Arial" w:hAnsi="Arial" w:cs="Arial"/>
        </w:rPr>
        <w:t>-</w:t>
      </w:r>
      <w:r w:rsidRPr="00007910">
        <w:rPr>
          <w:rStyle w:val="fontstyle01"/>
          <w:rFonts w:ascii="Arial" w:hAnsi="Arial" w:cs="Arial"/>
        </w:rPr>
        <w:t>up</w:t>
      </w:r>
      <w:r w:rsidRPr="00007910" w:rsidR="00C6184E">
        <w:rPr>
          <w:rStyle w:val="fontstyle01"/>
          <w:rFonts w:ascii="Arial" w:hAnsi="Arial" w:cs="Arial"/>
        </w:rPr>
        <w:t xml:space="preserve"> power</w:t>
      </w:r>
      <w:r w:rsidR="00BB1F1D">
        <w:rPr>
          <w:rStyle w:val="fontstyle01"/>
          <w:rFonts w:ascii="Arial" w:hAnsi="Arial" w:cs="Arial"/>
        </w:rPr>
        <w:t xml:space="preserve"> -- </w:t>
      </w:r>
      <w:r w:rsidRPr="00007910">
        <w:rPr>
          <w:rStyle w:val="fontstyle01"/>
          <w:rFonts w:ascii="Arial" w:hAnsi="Arial" w:cs="Arial"/>
        </w:rPr>
        <w:t>a BTM customer benefit that traditional distribution infrastructure cannot.</w:t>
      </w:r>
      <w:r w:rsidRPr="00007910" w:rsidR="00E56551">
        <w:rPr>
          <w:rStyle w:val="fontstyle01"/>
          <w:rFonts w:ascii="Arial" w:hAnsi="Arial" w:cs="Arial"/>
        </w:rPr>
        <w:t xml:space="preserve"> Complementary uses should be identified and maximized to the extent </w:t>
      </w:r>
      <w:r w:rsidRPr="00007910" w:rsidR="009B3A0B">
        <w:rPr>
          <w:rStyle w:val="fontstyle01"/>
          <w:rFonts w:ascii="Arial" w:hAnsi="Arial" w:cs="Arial"/>
        </w:rPr>
        <w:t>consistent</w:t>
      </w:r>
      <w:r w:rsidRPr="00007910" w:rsidR="00E56551">
        <w:rPr>
          <w:rStyle w:val="fontstyle01"/>
          <w:rFonts w:ascii="Arial" w:hAnsi="Arial" w:cs="Arial"/>
        </w:rPr>
        <w:t xml:space="preserve"> with the primary purpose of the NWA. Indeed, it is possible that revenue and savings from complementary uses such as capacity or transmission peak reductions may exceed distribution system savings. The Authority sets no minimal distribution system savings figure or percentage so long as the benefits overall exceed costs.</w:t>
      </w:r>
    </w:p>
    <w:p w:rsidRPr="00007910" w:rsidR="00993756" w:rsidP="00A75E2F" w:rsidRDefault="00993756" w14:paraId="7B82616C" w14:textId="59D04684">
      <w:pPr>
        <w:jc w:val="both"/>
        <w:rPr>
          <w:rStyle w:val="fontstyle01"/>
          <w:rFonts w:ascii="Arial" w:hAnsi="Arial" w:cs="Arial"/>
        </w:rPr>
      </w:pPr>
      <w:r w:rsidRPr="00007910">
        <w:rPr>
          <w:rStyle w:val="fontstyle01"/>
          <w:rFonts w:ascii="Arial" w:hAnsi="Arial" w:cs="Arial"/>
        </w:rPr>
        <w:t>ISO-NE is now finaliz</w:t>
      </w:r>
      <w:r w:rsidRPr="00007910" w:rsidR="00C6184E">
        <w:rPr>
          <w:rStyle w:val="fontstyle01"/>
          <w:rFonts w:ascii="Arial" w:hAnsi="Arial" w:cs="Arial"/>
        </w:rPr>
        <w:t>ing</w:t>
      </w:r>
      <w:r w:rsidRPr="00007910">
        <w:rPr>
          <w:rStyle w:val="fontstyle01"/>
          <w:rFonts w:ascii="Arial" w:hAnsi="Arial" w:cs="Arial"/>
        </w:rPr>
        <w:t xml:space="preserve"> its FERC Order 841 compliance for integration of batteries into its markets. And ISO-NE is proceeding with implementation of FERC Order 2222 on DER Aggregation. </w:t>
      </w:r>
      <w:r w:rsidRPr="00007910" w:rsidR="00C6184E">
        <w:rPr>
          <w:rStyle w:val="fontstyle01"/>
          <w:rFonts w:ascii="Arial" w:hAnsi="Arial" w:cs="Arial"/>
        </w:rPr>
        <w:t>Both FERC mandates will potential</w:t>
      </w:r>
      <w:r w:rsidRPr="00007910" w:rsidR="007E1887">
        <w:rPr>
          <w:rStyle w:val="fontstyle01"/>
          <w:rFonts w:ascii="Arial" w:hAnsi="Arial" w:cs="Arial"/>
        </w:rPr>
        <w:t>ly</w:t>
      </w:r>
      <w:r w:rsidRPr="00007910" w:rsidR="00C6184E">
        <w:rPr>
          <w:rStyle w:val="fontstyle01"/>
          <w:rFonts w:ascii="Arial" w:hAnsi="Arial" w:cs="Arial"/>
        </w:rPr>
        <w:t xml:space="preserve"> allow for more NWA resource value streams that may make NWAs both less expensive and able to recognize multiple values.</w:t>
      </w:r>
      <w:r w:rsidRPr="00007910" w:rsidR="00E56551">
        <w:rPr>
          <w:rStyle w:val="fontstyle01"/>
          <w:rFonts w:ascii="Arial" w:hAnsi="Arial" w:cs="Arial"/>
        </w:rPr>
        <w:t xml:space="preserve"> FERC Order 2222 is explicit about DERs ability to participate in multiple markets.</w:t>
      </w:r>
    </w:p>
    <w:p w:rsidRPr="00007910" w:rsidR="00F0374A" w:rsidP="00A75E2F" w:rsidRDefault="00993756" w14:paraId="332116B1" w14:textId="7EF923FF">
      <w:pPr>
        <w:jc w:val="both"/>
        <w:rPr>
          <w:rStyle w:val="fontstyle01"/>
          <w:rFonts w:ascii="Arial" w:hAnsi="Arial" w:cs="Arial"/>
        </w:rPr>
      </w:pPr>
      <w:r w:rsidRPr="00007910">
        <w:rPr>
          <w:rStyle w:val="fontstyle01"/>
          <w:rFonts w:ascii="Arial" w:hAnsi="Arial" w:cs="Arial"/>
        </w:rPr>
        <w:lastRenderedPageBreak/>
        <w:t xml:space="preserve">To the extent that multiple values can be realized while </w:t>
      </w:r>
      <w:r w:rsidRPr="00007910" w:rsidR="008B21C1">
        <w:rPr>
          <w:rStyle w:val="fontstyle01"/>
          <w:rFonts w:ascii="Arial" w:hAnsi="Arial" w:cs="Arial"/>
        </w:rPr>
        <w:t>maintaining</w:t>
      </w:r>
      <w:r w:rsidRPr="00007910">
        <w:rPr>
          <w:rStyle w:val="fontstyle01"/>
          <w:rFonts w:ascii="Arial" w:hAnsi="Arial" w:cs="Arial"/>
        </w:rPr>
        <w:t xml:space="preserve"> the integrity of each function, the cost of realizing each value is reduced and </w:t>
      </w:r>
      <w:r w:rsidRPr="00007910" w:rsidR="00C6184E">
        <w:rPr>
          <w:rStyle w:val="fontstyle01"/>
          <w:rFonts w:ascii="Arial" w:hAnsi="Arial" w:cs="Arial"/>
        </w:rPr>
        <w:t xml:space="preserve">the </w:t>
      </w:r>
      <w:r w:rsidRPr="00007910">
        <w:rPr>
          <w:rStyle w:val="fontstyle01"/>
          <w:rFonts w:ascii="Arial" w:hAnsi="Arial" w:cs="Arial"/>
        </w:rPr>
        <w:t>potential to enhance customer service grows.</w:t>
      </w:r>
    </w:p>
    <w:p w:rsidRPr="00007910" w:rsidR="005373F3" w:rsidP="005373F3" w:rsidRDefault="005373F3" w14:paraId="36E6D7E3" w14:textId="7462B80A">
      <w:pPr>
        <w:rPr>
          <w:rStyle w:val="fontstyle01"/>
          <w:rFonts w:ascii="Arial" w:hAnsi="Arial" w:cs="Arial"/>
        </w:rPr>
      </w:pPr>
    </w:p>
    <w:p w:rsidRPr="00007910" w:rsidR="00993756" w:rsidP="00993756" w:rsidRDefault="00A7617D" w14:paraId="59068882" w14:textId="17581812">
      <w:pPr>
        <w:pStyle w:val="ListParagraph"/>
        <w:numPr>
          <w:ilvl w:val="0"/>
          <w:numId w:val="4"/>
        </w:numPr>
        <w:rPr>
          <w:rStyle w:val="fontstyle01"/>
          <w:rFonts w:ascii="Arial" w:hAnsi="Arial" w:cs="Arial"/>
          <w:b/>
          <w:bCs/>
        </w:rPr>
      </w:pPr>
      <w:r w:rsidRPr="00007910">
        <w:rPr>
          <w:rStyle w:val="fontstyle01"/>
          <w:rFonts w:ascii="Arial" w:hAnsi="Arial" w:cs="Arial"/>
          <w:b/>
          <w:bCs/>
        </w:rPr>
        <w:t>UTILITY COST RECOVERY FOR NWA SOLUTIONS</w:t>
      </w:r>
    </w:p>
    <w:p w:rsidRPr="00007910" w:rsidR="00993756" w:rsidP="00A75E2F" w:rsidRDefault="00993756" w14:paraId="54E6316B" w14:textId="4D66B0E5">
      <w:pPr>
        <w:jc w:val="both"/>
        <w:rPr>
          <w:rStyle w:val="fontstyle01"/>
          <w:rFonts w:ascii="Arial" w:hAnsi="Arial" w:cs="Arial"/>
        </w:rPr>
      </w:pPr>
      <w:r w:rsidRPr="00007910">
        <w:rPr>
          <w:rStyle w:val="fontstyle01"/>
          <w:rFonts w:ascii="Arial" w:hAnsi="Arial" w:cs="Arial"/>
        </w:rPr>
        <w:t xml:space="preserve">When the Authority approves a Third-Party Administrator recommendation for an NWA, the EDC will be able to recover all </w:t>
      </w:r>
      <w:r w:rsidR="00BB1F1D">
        <w:rPr>
          <w:rStyle w:val="fontstyle01"/>
          <w:rFonts w:ascii="Arial" w:hAnsi="Arial" w:cs="Arial"/>
        </w:rPr>
        <w:t xml:space="preserve">reasonable and </w:t>
      </w:r>
      <w:r w:rsidRPr="00007910">
        <w:rPr>
          <w:rStyle w:val="fontstyle01"/>
          <w:rFonts w:ascii="Arial" w:hAnsi="Arial" w:cs="Arial"/>
        </w:rPr>
        <w:t xml:space="preserve">prudently </w:t>
      </w:r>
      <w:r w:rsidRPr="00007910" w:rsidR="00321543">
        <w:rPr>
          <w:rStyle w:val="fontstyle01"/>
          <w:rFonts w:ascii="Arial" w:hAnsi="Arial" w:cs="Arial"/>
        </w:rPr>
        <w:t xml:space="preserve">incurred </w:t>
      </w:r>
      <w:r w:rsidRPr="00007910">
        <w:rPr>
          <w:rStyle w:val="fontstyle01"/>
          <w:rFonts w:ascii="Arial" w:hAnsi="Arial" w:cs="Arial"/>
        </w:rPr>
        <w:t xml:space="preserve">NWA costs. The EDC will not be at risk for NWA provider cost overruns and contractual provisions will be designed to avoid such </w:t>
      </w:r>
      <w:r w:rsidRPr="00007910" w:rsidR="008B21C1">
        <w:rPr>
          <w:rStyle w:val="fontstyle01"/>
          <w:rFonts w:ascii="Arial" w:hAnsi="Arial" w:cs="Arial"/>
        </w:rPr>
        <w:t>overruns</w:t>
      </w:r>
      <w:r w:rsidRPr="00007910">
        <w:rPr>
          <w:rStyle w:val="fontstyle01"/>
          <w:rFonts w:ascii="Arial" w:hAnsi="Arial" w:cs="Arial"/>
        </w:rPr>
        <w:t xml:space="preserve">. The EDCs will only be responsible for their own implementation of the NWA solution and </w:t>
      </w:r>
      <w:r w:rsidR="00BB1F1D">
        <w:rPr>
          <w:rStyle w:val="fontstyle01"/>
          <w:rFonts w:ascii="Arial" w:hAnsi="Arial" w:cs="Arial"/>
        </w:rPr>
        <w:t xml:space="preserve">will </w:t>
      </w:r>
      <w:r w:rsidRPr="00007910">
        <w:rPr>
          <w:rStyle w:val="fontstyle01"/>
          <w:rFonts w:ascii="Arial" w:hAnsi="Arial" w:cs="Arial"/>
        </w:rPr>
        <w:t>recover their costs as operational expenses.</w:t>
      </w:r>
    </w:p>
    <w:p w:rsidRPr="00007910" w:rsidR="00977EF5" w:rsidP="00A75E2F" w:rsidRDefault="00993756" w14:paraId="00060FFB" w14:textId="08DC375F">
      <w:pPr>
        <w:jc w:val="both"/>
        <w:rPr>
          <w:rStyle w:val="fontstyle01"/>
          <w:rFonts w:ascii="Arial" w:hAnsi="Arial" w:cs="Arial"/>
        </w:rPr>
      </w:pPr>
      <w:r w:rsidRPr="00007910">
        <w:rPr>
          <w:rStyle w:val="fontstyle01"/>
          <w:rFonts w:ascii="Arial" w:hAnsi="Arial" w:cs="Arial"/>
        </w:rPr>
        <w:t xml:space="preserve">Because </w:t>
      </w:r>
      <w:r w:rsidRPr="00007910" w:rsidR="00A665F2">
        <w:rPr>
          <w:rStyle w:val="fontstyle01"/>
          <w:rFonts w:ascii="Arial" w:hAnsi="Arial" w:cs="Arial"/>
        </w:rPr>
        <w:t xml:space="preserve">the </w:t>
      </w:r>
      <w:r w:rsidRPr="00007910">
        <w:rPr>
          <w:rStyle w:val="fontstyle01"/>
          <w:rFonts w:ascii="Arial" w:hAnsi="Arial" w:cs="Arial"/>
        </w:rPr>
        <w:t>EDC</w:t>
      </w:r>
      <w:r w:rsidRPr="00007910" w:rsidR="00A665F2">
        <w:rPr>
          <w:rStyle w:val="fontstyle01"/>
          <w:rFonts w:ascii="Arial" w:hAnsi="Arial" w:cs="Arial"/>
        </w:rPr>
        <w:t>s</w:t>
      </w:r>
      <w:r w:rsidRPr="00007910">
        <w:rPr>
          <w:rStyle w:val="fontstyle01"/>
          <w:rFonts w:ascii="Arial" w:hAnsi="Arial" w:cs="Arial"/>
        </w:rPr>
        <w:t xml:space="preserve"> will be allow</w:t>
      </w:r>
      <w:r w:rsidRPr="00007910" w:rsidR="00C6184E">
        <w:rPr>
          <w:rStyle w:val="fontstyle01"/>
          <w:rFonts w:ascii="Arial" w:hAnsi="Arial" w:cs="Arial"/>
        </w:rPr>
        <w:t>ed</w:t>
      </w:r>
      <w:r w:rsidRPr="00007910">
        <w:rPr>
          <w:rStyle w:val="fontstyle01"/>
          <w:rFonts w:ascii="Arial" w:hAnsi="Arial" w:cs="Arial"/>
        </w:rPr>
        <w:t xml:space="preserve"> to bid on NWA solutions,</w:t>
      </w:r>
      <w:r w:rsidRPr="00007910" w:rsidR="4643560D">
        <w:rPr>
          <w:rStyle w:val="fontstyle01"/>
          <w:rFonts w:ascii="Arial" w:hAnsi="Arial" w:cs="Arial"/>
        </w:rPr>
        <w:t xml:space="preserve"> </w:t>
      </w:r>
      <w:r w:rsidRPr="00007910" w:rsidR="00A665F2">
        <w:rPr>
          <w:rStyle w:val="fontstyle01"/>
          <w:rFonts w:ascii="Arial" w:hAnsi="Arial" w:cs="Arial"/>
        </w:rPr>
        <w:t>they</w:t>
      </w:r>
      <w:r w:rsidRPr="00007910" w:rsidR="4643560D">
        <w:rPr>
          <w:rStyle w:val="fontstyle01"/>
          <w:rFonts w:ascii="Arial" w:hAnsi="Arial" w:cs="Arial"/>
        </w:rPr>
        <w:t xml:space="preserve"> will have the same opportunities as other</w:t>
      </w:r>
      <w:r w:rsidRPr="00007910" w:rsidR="043CC0E0">
        <w:rPr>
          <w:rStyle w:val="fontstyle01"/>
          <w:rFonts w:ascii="Arial" w:hAnsi="Arial" w:cs="Arial"/>
        </w:rPr>
        <w:t xml:space="preserve"> RFP respondents</w:t>
      </w:r>
      <w:r w:rsidRPr="00007910" w:rsidR="3E1B9CDF">
        <w:rPr>
          <w:rStyle w:val="fontstyle01"/>
          <w:rFonts w:ascii="Arial" w:hAnsi="Arial" w:cs="Arial"/>
        </w:rPr>
        <w:t xml:space="preserve"> to make a profit on a winning RFP response</w:t>
      </w:r>
      <w:r w:rsidRPr="00007910" w:rsidR="4643560D">
        <w:rPr>
          <w:rStyle w:val="fontstyle01"/>
          <w:rFonts w:ascii="Arial" w:hAnsi="Arial" w:cs="Arial"/>
        </w:rPr>
        <w:t xml:space="preserve">. </w:t>
      </w:r>
      <w:r w:rsidRPr="00007910" w:rsidR="1ECA4456">
        <w:rPr>
          <w:rStyle w:val="fontstyle01"/>
          <w:rFonts w:ascii="Arial" w:hAnsi="Arial" w:cs="Arial"/>
        </w:rPr>
        <w:t xml:space="preserve">Allowing the utility itself to recovery an ROE on the NWA costs would perhaps constitute a layer of double recovery </w:t>
      </w:r>
      <w:r w:rsidRPr="00007910" w:rsidR="6C2EFDB5">
        <w:rPr>
          <w:rStyle w:val="fontstyle01"/>
          <w:rFonts w:ascii="Arial" w:hAnsi="Arial" w:cs="Arial"/>
        </w:rPr>
        <w:t>of profit and utility costs that could create perverse incentives to shift costs and cost accounting. In any event, the possibility of double-recoveries will always need to be monitored care</w:t>
      </w:r>
      <w:r w:rsidRPr="00007910" w:rsidR="052FBBAC">
        <w:rPr>
          <w:rStyle w:val="fontstyle01"/>
          <w:rFonts w:ascii="Arial" w:hAnsi="Arial" w:cs="Arial"/>
        </w:rPr>
        <w:t xml:space="preserve">fully under any NWA structure. For these reasons, the Authority </w:t>
      </w:r>
      <w:r w:rsidR="00BB1F1D">
        <w:rPr>
          <w:rStyle w:val="fontstyle01"/>
          <w:rFonts w:ascii="Arial" w:hAnsi="Arial" w:cs="Arial"/>
        </w:rPr>
        <w:t>determines</w:t>
      </w:r>
      <w:r w:rsidRPr="00007910" w:rsidR="052FBBAC">
        <w:rPr>
          <w:rStyle w:val="fontstyle01"/>
          <w:rFonts w:ascii="Arial" w:hAnsi="Arial" w:cs="Arial"/>
        </w:rPr>
        <w:t xml:space="preserve"> that</w:t>
      </w:r>
      <w:r w:rsidRPr="00007910">
        <w:rPr>
          <w:rStyle w:val="fontstyle01"/>
          <w:rFonts w:ascii="Arial" w:hAnsi="Arial" w:cs="Arial"/>
        </w:rPr>
        <w:t xml:space="preserve"> any costs for NWA shall be recovered as operational costs</w:t>
      </w:r>
      <w:r w:rsidRPr="00007910" w:rsidR="1C51B468">
        <w:rPr>
          <w:rStyle w:val="fontstyle01"/>
          <w:rFonts w:ascii="Arial" w:hAnsi="Arial" w:cs="Arial"/>
        </w:rPr>
        <w:t xml:space="preserve"> without any ROE incentive</w:t>
      </w:r>
      <w:r w:rsidRPr="00007910">
        <w:rPr>
          <w:rStyle w:val="fontstyle01"/>
          <w:rFonts w:ascii="Arial" w:hAnsi="Arial" w:cs="Arial"/>
        </w:rPr>
        <w:t xml:space="preserve"> </w:t>
      </w:r>
      <w:r w:rsidRPr="00007910" w:rsidR="4C746B1A">
        <w:rPr>
          <w:rStyle w:val="fontstyle01"/>
          <w:rFonts w:ascii="Arial" w:hAnsi="Arial" w:cs="Arial"/>
        </w:rPr>
        <w:t xml:space="preserve">but </w:t>
      </w:r>
      <w:r w:rsidRPr="00007910">
        <w:rPr>
          <w:rStyle w:val="fontstyle01"/>
          <w:rFonts w:ascii="Arial" w:hAnsi="Arial" w:cs="Arial"/>
        </w:rPr>
        <w:t>subject to</w:t>
      </w:r>
      <w:r w:rsidRPr="00007910" w:rsidR="037121DA">
        <w:rPr>
          <w:rStyle w:val="fontstyle01"/>
          <w:rFonts w:ascii="Arial" w:hAnsi="Arial" w:cs="Arial"/>
        </w:rPr>
        <w:t xml:space="preserve"> utilities earnings for</w:t>
      </w:r>
      <w:r w:rsidRPr="00007910">
        <w:rPr>
          <w:rStyle w:val="fontstyle01"/>
          <w:rFonts w:ascii="Arial" w:hAnsi="Arial" w:cs="Arial"/>
        </w:rPr>
        <w:t xml:space="preserve"> </w:t>
      </w:r>
      <w:r w:rsidRPr="00007910" w:rsidR="7BA42700">
        <w:rPr>
          <w:rStyle w:val="fontstyle01"/>
          <w:rFonts w:ascii="Arial" w:hAnsi="Arial" w:cs="Arial"/>
        </w:rPr>
        <w:t>ratepayers</w:t>
      </w:r>
      <w:r w:rsidR="00BB1F1D">
        <w:rPr>
          <w:rStyle w:val="fontstyle01"/>
          <w:rFonts w:ascii="Arial" w:hAnsi="Arial" w:cs="Arial"/>
        </w:rPr>
        <w:t>’</w:t>
      </w:r>
      <w:r w:rsidRPr="00007910" w:rsidR="7BA42700">
        <w:rPr>
          <w:rStyle w:val="fontstyle01"/>
          <w:rFonts w:ascii="Arial" w:hAnsi="Arial" w:cs="Arial"/>
        </w:rPr>
        <w:t xml:space="preserve"> costs savings sharing and consumer benefit </w:t>
      </w:r>
      <w:r w:rsidRPr="00007910">
        <w:rPr>
          <w:rStyle w:val="fontstyle01"/>
          <w:rFonts w:ascii="Arial" w:hAnsi="Arial" w:cs="Arial"/>
        </w:rPr>
        <w:t>incentives discussed below.</w:t>
      </w:r>
      <w:r w:rsidRPr="00007910" w:rsidR="40867885">
        <w:rPr>
          <w:rStyle w:val="fontstyle01"/>
          <w:rFonts w:ascii="Arial" w:hAnsi="Arial" w:cs="Arial"/>
        </w:rPr>
        <w:t xml:space="preserve"> </w:t>
      </w:r>
    </w:p>
    <w:p w:rsidRPr="00007910" w:rsidR="00F0374A" w:rsidP="00A75E2F" w:rsidRDefault="00977EF5" w14:paraId="5F341349" w14:textId="47E03CFC">
      <w:pPr>
        <w:jc w:val="both"/>
        <w:rPr>
          <w:rStyle w:val="fontstyle01"/>
          <w:rFonts w:ascii="Arial" w:hAnsi="Arial" w:cs="Arial"/>
        </w:rPr>
      </w:pPr>
      <w:r w:rsidRPr="00007910">
        <w:rPr>
          <w:rStyle w:val="fontstyle01"/>
          <w:rFonts w:ascii="Arial" w:hAnsi="Arial" w:cs="Arial"/>
        </w:rPr>
        <w:t xml:space="preserve">However, in the event that an NWA does not </w:t>
      </w:r>
      <w:r w:rsidRPr="00007910" w:rsidR="00D546C8">
        <w:rPr>
          <w:rStyle w:val="fontstyle01"/>
          <w:rFonts w:ascii="Arial" w:hAnsi="Arial" w:cs="Arial"/>
        </w:rPr>
        <w:t>provide a viable alternative to the proposed or preferred traditional solution</w:t>
      </w:r>
      <w:r w:rsidR="00BB1F1D">
        <w:rPr>
          <w:rStyle w:val="fontstyle01"/>
          <w:rFonts w:ascii="Arial" w:hAnsi="Arial" w:cs="Arial"/>
        </w:rPr>
        <w:t>,</w:t>
      </w:r>
      <w:r w:rsidRPr="00007910">
        <w:rPr>
          <w:rStyle w:val="fontstyle01"/>
          <w:rFonts w:ascii="Arial" w:hAnsi="Arial" w:cs="Arial"/>
        </w:rPr>
        <w:t xml:space="preserve"> </w:t>
      </w:r>
      <w:r w:rsidRPr="00007910" w:rsidR="003F7E94">
        <w:rPr>
          <w:rStyle w:val="fontstyle01"/>
          <w:rFonts w:ascii="Arial" w:hAnsi="Arial" w:cs="Arial"/>
        </w:rPr>
        <w:t xml:space="preserve">the EDCs will be allowed to rate base the prudently incurred costs associated with </w:t>
      </w:r>
      <w:r w:rsidRPr="00007910" w:rsidR="00306DED">
        <w:rPr>
          <w:rStyle w:val="fontstyle01"/>
          <w:rFonts w:ascii="Arial" w:hAnsi="Arial" w:cs="Arial"/>
        </w:rPr>
        <w:t>the traditional solution deployed</w:t>
      </w:r>
      <w:r w:rsidRPr="00007910" w:rsidR="00023A88">
        <w:rPr>
          <w:rStyle w:val="fontstyle01"/>
          <w:rFonts w:ascii="Arial" w:hAnsi="Arial" w:cs="Arial"/>
        </w:rPr>
        <w:t xml:space="preserve"> consistent with the Authority’s past practices. </w:t>
      </w:r>
    </w:p>
    <w:p w:rsidRPr="00007910" w:rsidR="00023A88" w:rsidP="004F74AF" w:rsidRDefault="00023A88" w14:paraId="6AC85C79" w14:textId="77777777">
      <w:pPr>
        <w:rPr>
          <w:rStyle w:val="fontstyle01"/>
          <w:rFonts w:ascii="Arial" w:hAnsi="Arial" w:cs="Arial"/>
        </w:rPr>
      </w:pPr>
    </w:p>
    <w:p w:rsidRPr="00007910" w:rsidR="00874657" w:rsidP="00F0374A" w:rsidRDefault="00A7617D" w14:paraId="21F69EE4" w14:textId="41A8965B">
      <w:pPr>
        <w:pStyle w:val="ListParagraph"/>
        <w:numPr>
          <w:ilvl w:val="0"/>
          <w:numId w:val="4"/>
        </w:numPr>
        <w:rPr>
          <w:rStyle w:val="fontstyle01"/>
          <w:rFonts w:ascii="Arial" w:hAnsi="Arial" w:cs="Arial"/>
          <w:b/>
          <w:bCs/>
        </w:rPr>
      </w:pPr>
      <w:r w:rsidRPr="00007910">
        <w:rPr>
          <w:rStyle w:val="fontstyle01"/>
          <w:rFonts w:ascii="Arial" w:hAnsi="Arial" w:cs="Arial"/>
          <w:b/>
          <w:bCs/>
        </w:rPr>
        <w:t>UTILITY INCENTIVES TO ACHIEVE CUSTOMER SAVINGS</w:t>
      </w:r>
    </w:p>
    <w:p w:rsidRPr="00007910" w:rsidR="00F9055E" w:rsidP="00A75E2F" w:rsidRDefault="00F341F1" w14:paraId="3C7DEAF4" w14:textId="3EE5AF9D">
      <w:pPr>
        <w:jc w:val="both"/>
        <w:rPr>
          <w:rStyle w:val="fontstyle01"/>
          <w:rFonts w:ascii="Arial" w:hAnsi="Arial" w:cs="Arial"/>
        </w:rPr>
      </w:pPr>
      <w:r w:rsidRPr="00007910">
        <w:rPr>
          <w:rStyle w:val="fontstyle01"/>
          <w:rFonts w:ascii="Arial" w:hAnsi="Arial" w:cs="Arial"/>
        </w:rPr>
        <w:t xml:space="preserve">When an NWA solution </w:t>
      </w:r>
      <w:r w:rsidRPr="00007910" w:rsidR="107BC177">
        <w:rPr>
          <w:rStyle w:val="fontstyle01"/>
          <w:rFonts w:ascii="Arial" w:hAnsi="Arial" w:cs="Arial"/>
        </w:rPr>
        <w:t>is preferred t</w:t>
      </w:r>
      <w:r w:rsidRPr="00007910">
        <w:rPr>
          <w:rStyle w:val="fontstyle01"/>
          <w:rFonts w:ascii="Arial" w:hAnsi="Arial" w:cs="Arial"/>
        </w:rPr>
        <w:t>o traditional utility solution(s), and the EDC has cooperated in development of the opportunity</w:t>
      </w:r>
      <w:r w:rsidRPr="00007910" w:rsidR="00C6184E">
        <w:rPr>
          <w:rStyle w:val="fontstyle01"/>
          <w:rFonts w:ascii="Arial" w:hAnsi="Arial" w:cs="Arial"/>
        </w:rPr>
        <w:t xml:space="preserve"> by </w:t>
      </w:r>
      <w:r w:rsidRPr="00007910">
        <w:rPr>
          <w:rStyle w:val="fontstyle01"/>
          <w:rFonts w:ascii="Arial" w:hAnsi="Arial" w:cs="Arial"/>
        </w:rPr>
        <w:t xml:space="preserve">sharing information and implementation, the EDC may be </w:t>
      </w:r>
      <w:r w:rsidRPr="00007910" w:rsidR="00F9055E">
        <w:rPr>
          <w:rStyle w:val="fontstyle01"/>
          <w:rFonts w:ascii="Arial" w:hAnsi="Arial" w:cs="Arial"/>
        </w:rPr>
        <w:t xml:space="preserve">awarded a </w:t>
      </w:r>
      <w:r w:rsidRPr="00007910" w:rsidR="00AB1A1B">
        <w:rPr>
          <w:rStyle w:val="fontstyle01"/>
          <w:rFonts w:ascii="Arial" w:hAnsi="Arial" w:cs="Arial"/>
        </w:rPr>
        <w:t>shared savings</w:t>
      </w:r>
      <w:r w:rsidRPr="00007910" w:rsidR="00F9055E">
        <w:rPr>
          <w:rStyle w:val="fontstyle01"/>
          <w:rFonts w:ascii="Arial" w:hAnsi="Arial" w:cs="Arial"/>
        </w:rPr>
        <w:t xml:space="preserve"> performance incentive of up to one </w:t>
      </w:r>
      <w:r w:rsidRPr="00007910" w:rsidR="00321543">
        <w:rPr>
          <w:rStyle w:val="fontstyle01"/>
          <w:rFonts w:ascii="Arial" w:hAnsi="Arial" w:cs="Arial"/>
        </w:rPr>
        <w:t xml:space="preserve">quarter </w:t>
      </w:r>
      <w:r w:rsidRPr="00007910" w:rsidR="00F9055E">
        <w:rPr>
          <w:rStyle w:val="fontstyle01"/>
          <w:rFonts w:ascii="Arial" w:hAnsi="Arial" w:cs="Arial"/>
        </w:rPr>
        <w:t xml:space="preserve">of the </w:t>
      </w:r>
      <w:r w:rsidRPr="00007910" w:rsidR="004339D3">
        <w:rPr>
          <w:rStyle w:val="fontstyle01"/>
          <w:rFonts w:ascii="Arial" w:hAnsi="Arial" w:cs="Arial"/>
        </w:rPr>
        <w:t xml:space="preserve">projected net </w:t>
      </w:r>
      <w:r w:rsidRPr="00007910" w:rsidR="1BE2E4EB">
        <w:rPr>
          <w:rStyle w:val="fontstyle01"/>
          <w:rFonts w:ascii="Arial" w:hAnsi="Arial" w:cs="Arial"/>
        </w:rPr>
        <w:t xml:space="preserve">savings </w:t>
      </w:r>
      <w:r w:rsidRPr="00007910" w:rsidR="00F9055E">
        <w:rPr>
          <w:rStyle w:val="fontstyle01"/>
          <w:rFonts w:ascii="Arial" w:hAnsi="Arial" w:cs="Arial"/>
        </w:rPr>
        <w:t>achieved in comparison to the traditional utility solution.</w:t>
      </w:r>
    </w:p>
    <w:p w:rsidRPr="00007910" w:rsidR="5512C900" w:rsidP="00A75E2F" w:rsidRDefault="5512C900" w14:paraId="71D1D44F" w14:textId="43FF0980">
      <w:pPr>
        <w:jc w:val="both"/>
        <w:rPr>
          <w:rStyle w:val="fontstyle01"/>
          <w:rFonts w:ascii="Arial" w:hAnsi="Arial" w:cs="Arial"/>
        </w:rPr>
      </w:pPr>
      <w:r w:rsidRPr="00007910">
        <w:rPr>
          <w:rStyle w:val="fontstyle01"/>
          <w:rFonts w:ascii="Arial" w:hAnsi="Arial" w:cs="Arial"/>
        </w:rPr>
        <w:t>This customer savings incentive</w:t>
      </w:r>
      <w:r w:rsidR="00BB1F1D">
        <w:rPr>
          <w:rStyle w:val="fontstyle01"/>
          <w:rFonts w:ascii="Arial" w:hAnsi="Arial" w:cs="Arial"/>
        </w:rPr>
        <w:t xml:space="preserve"> designed</w:t>
      </w:r>
      <w:r w:rsidRPr="00007910">
        <w:rPr>
          <w:rStyle w:val="fontstyle01"/>
          <w:rFonts w:ascii="Arial" w:hAnsi="Arial" w:cs="Arial"/>
        </w:rPr>
        <w:t xml:space="preserve"> to share with utilities will act as a cap on the utility performance incentive for both customer savings and superior </w:t>
      </w:r>
      <w:r w:rsidRPr="00007910" w:rsidR="13B7AE32">
        <w:rPr>
          <w:rStyle w:val="fontstyle01"/>
          <w:rFonts w:ascii="Arial" w:hAnsi="Arial" w:cs="Arial"/>
        </w:rPr>
        <w:t xml:space="preserve">grid and customer benefits addressed in </w:t>
      </w:r>
      <w:r w:rsidRPr="00007910" w:rsidR="00A43093">
        <w:rPr>
          <w:rStyle w:val="fontstyle01"/>
          <w:rFonts w:ascii="Arial" w:hAnsi="Arial" w:cs="Arial"/>
        </w:rPr>
        <w:t>S</w:t>
      </w:r>
      <w:r w:rsidRPr="00007910" w:rsidR="13B7AE32">
        <w:rPr>
          <w:rStyle w:val="fontstyle01"/>
          <w:rFonts w:ascii="Arial" w:hAnsi="Arial" w:cs="Arial"/>
        </w:rPr>
        <w:t xml:space="preserve">ection VI below. The Authority </w:t>
      </w:r>
      <w:r w:rsidR="00BB1F1D">
        <w:rPr>
          <w:rStyle w:val="fontstyle01"/>
          <w:rFonts w:ascii="Arial" w:hAnsi="Arial" w:cs="Arial"/>
        </w:rPr>
        <w:t>finds</w:t>
      </w:r>
      <w:r w:rsidRPr="00007910" w:rsidR="45ECEA70">
        <w:rPr>
          <w:rStyle w:val="fontstyle01"/>
          <w:rFonts w:ascii="Arial" w:hAnsi="Arial" w:cs="Arial"/>
        </w:rPr>
        <w:t xml:space="preserve"> that utility implemen</w:t>
      </w:r>
      <w:r w:rsidRPr="00007910" w:rsidR="1CB4FC44">
        <w:rPr>
          <w:rStyle w:val="fontstyle01"/>
          <w:rFonts w:ascii="Arial" w:hAnsi="Arial" w:cs="Arial"/>
        </w:rPr>
        <w:t>ta</w:t>
      </w:r>
      <w:r w:rsidRPr="00007910" w:rsidR="45ECEA70">
        <w:rPr>
          <w:rStyle w:val="fontstyle01"/>
          <w:rFonts w:ascii="Arial" w:hAnsi="Arial" w:cs="Arial"/>
        </w:rPr>
        <w:t xml:space="preserve">tion incentives of </w:t>
      </w:r>
      <w:r w:rsidRPr="00007910" w:rsidR="13B7AE32">
        <w:rPr>
          <w:rStyle w:val="fontstyle01"/>
          <w:rFonts w:ascii="Arial" w:hAnsi="Arial" w:cs="Arial"/>
        </w:rPr>
        <w:t xml:space="preserve">up to one quarter of the project net </w:t>
      </w:r>
      <w:r w:rsidRPr="00007910" w:rsidR="25C38F2B">
        <w:rPr>
          <w:rStyle w:val="fontstyle01"/>
          <w:rFonts w:ascii="Arial" w:hAnsi="Arial" w:cs="Arial"/>
        </w:rPr>
        <w:t xml:space="preserve">customer </w:t>
      </w:r>
      <w:r w:rsidRPr="00007910" w:rsidR="13B7AE32">
        <w:rPr>
          <w:rStyle w:val="fontstyle01"/>
          <w:rFonts w:ascii="Arial" w:hAnsi="Arial" w:cs="Arial"/>
        </w:rPr>
        <w:t xml:space="preserve">savings </w:t>
      </w:r>
      <w:r w:rsidR="00BB1F1D">
        <w:rPr>
          <w:rStyle w:val="fontstyle01"/>
          <w:rFonts w:ascii="Arial" w:hAnsi="Arial" w:cs="Arial"/>
        </w:rPr>
        <w:t xml:space="preserve">shall </w:t>
      </w:r>
      <w:r w:rsidRPr="00007910" w:rsidR="13B7AE32">
        <w:rPr>
          <w:rStyle w:val="fontstyle01"/>
          <w:rFonts w:ascii="Arial" w:hAnsi="Arial" w:cs="Arial"/>
        </w:rPr>
        <w:t xml:space="preserve">be shared for several reasons: (1) </w:t>
      </w:r>
      <w:r w:rsidRPr="00007910" w:rsidR="4766323E">
        <w:rPr>
          <w:rStyle w:val="fontstyle01"/>
          <w:rFonts w:ascii="Arial" w:hAnsi="Arial" w:cs="Arial"/>
        </w:rPr>
        <w:t xml:space="preserve">this customer savings incentive </w:t>
      </w:r>
      <w:r w:rsidRPr="00007910" w:rsidR="13B7AE32">
        <w:rPr>
          <w:rStyle w:val="fontstyle01"/>
          <w:rFonts w:ascii="Arial" w:hAnsi="Arial" w:cs="Arial"/>
        </w:rPr>
        <w:t xml:space="preserve">is focusing primarily on </w:t>
      </w:r>
      <w:r w:rsidRPr="00007910" w:rsidR="5605C3CC">
        <w:rPr>
          <w:rStyle w:val="fontstyle01"/>
          <w:rFonts w:ascii="Arial" w:hAnsi="Arial" w:cs="Arial"/>
        </w:rPr>
        <w:t>customer savings</w:t>
      </w:r>
      <w:r w:rsidRPr="00007910" w:rsidR="009D2250">
        <w:rPr>
          <w:rStyle w:val="fontstyle01"/>
          <w:rFonts w:ascii="Arial" w:hAnsi="Arial" w:cs="Arial"/>
        </w:rPr>
        <w:t>;</w:t>
      </w:r>
      <w:r w:rsidRPr="00007910" w:rsidR="5605C3CC">
        <w:rPr>
          <w:rStyle w:val="fontstyle01"/>
          <w:rFonts w:ascii="Arial" w:hAnsi="Arial" w:cs="Arial"/>
        </w:rPr>
        <w:t xml:space="preserve"> (2) it provides the EDCs and all stakeholders wi</w:t>
      </w:r>
      <w:r w:rsidRPr="00007910" w:rsidR="00187D1B">
        <w:rPr>
          <w:rStyle w:val="fontstyle01"/>
          <w:rFonts w:ascii="Arial" w:hAnsi="Arial" w:cs="Arial"/>
        </w:rPr>
        <w:t xml:space="preserve">th a </w:t>
      </w:r>
      <w:r w:rsidRPr="00007910" w:rsidR="5605C3CC">
        <w:rPr>
          <w:rStyle w:val="fontstyle01"/>
          <w:rFonts w:ascii="Arial" w:hAnsi="Arial" w:cs="Arial"/>
        </w:rPr>
        <w:t>strong signal to look for NWAs that provide cost savings</w:t>
      </w:r>
      <w:r w:rsidRPr="00007910" w:rsidR="009D2250">
        <w:rPr>
          <w:rStyle w:val="fontstyle01"/>
          <w:rFonts w:ascii="Arial" w:hAnsi="Arial" w:cs="Arial"/>
        </w:rPr>
        <w:t>; and</w:t>
      </w:r>
      <w:r w:rsidRPr="00007910" w:rsidR="5605C3CC">
        <w:rPr>
          <w:rStyle w:val="fontstyle01"/>
          <w:rFonts w:ascii="Arial" w:hAnsi="Arial" w:cs="Arial"/>
        </w:rPr>
        <w:t xml:space="preserve"> (3) it is more conservative than other jur</w:t>
      </w:r>
      <w:r w:rsidRPr="00007910" w:rsidR="297E0469">
        <w:rPr>
          <w:rStyle w:val="fontstyle01"/>
          <w:rFonts w:ascii="Arial" w:hAnsi="Arial" w:cs="Arial"/>
        </w:rPr>
        <w:t>isdiction</w:t>
      </w:r>
      <w:r w:rsidRPr="00007910" w:rsidR="175071B0">
        <w:rPr>
          <w:rStyle w:val="fontstyle01"/>
          <w:rFonts w:ascii="Arial" w:hAnsi="Arial" w:cs="Arial"/>
        </w:rPr>
        <w:t>s</w:t>
      </w:r>
      <w:r w:rsidRPr="00007910" w:rsidR="00187D1B">
        <w:rPr>
          <w:rStyle w:val="fontstyle01"/>
          <w:rFonts w:ascii="Arial" w:hAnsi="Arial" w:cs="Arial"/>
        </w:rPr>
        <w:t>.</w:t>
      </w:r>
      <w:r w:rsidRPr="00007910" w:rsidR="5605C3CC">
        <w:rPr>
          <w:rStyle w:val="fontstyle01"/>
          <w:rFonts w:ascii="Arial" w:hAnsi="Arial" w:cs="Arial"/>
        </w:rPr>
        <w:t xml:space="preserve"> </w:t>
      </w:r>
      <w:r w:rsidRPr="00007910" w:rsidR="7AA6484E">
        <w:rPr>
          <w:rStyle w:val="fontstyle01"/>
          <w:rFonts w:ascii="Arial" w:hAnsi="Arial" w:cs="Arial"/>
        </w:rPr>
        <w:lastRenderedPageBreak/>
        <w:t>On that last point, we note that New York allow</w:t>
      </w:r>
      <w:r w:rsidRPr="00007910" w:rsidR="00973D8E">
        <w:rPr>
          <w:rStyle w:val="fontstyle01"/>
          <w:rFonts w:ascii="Arial" w:hAnsi="Arial" w:cs="Arial"/>
        </w:rPr>
        <w:t>s</w:t>
      </w:r>
      <w:r w:rsidRPr="00007910" w:rsidR="7AA6484E">
        <w:rPr>
          <w:rStyle w:val="fontstyle01"/>
          <w:rFonts w:ascii="Arial" w:hAnsi="Arial" w:cs="Arial"/>
        </w:rPr>
        <w:t xml:space="preserve"> a 30</w:t>
      </w:r>
      <w:r w:rsidR="00BB1F1D">
        <w:rPr>
          <w:rStyle w:val="fontstyle01"/>
          <w:rFonts w:ascii="Arial" w:hAnsi="Arial" w:cs="Arial"/>
        </w:rPr>
        <w:t>%</w:t>
      </w:r>
      <w:r w:rsidRPr="00007910" w:rsidR="7AA6484E">
        <w:rPr>
          <w:rStyle w:val="fontstyle01"/>
          <w:rFonts w:ascii="Arial" w:hAnsi="Arial" w:cs="Arial"/>
        </w:rPr>
        <w:t xml:space="preserve"> sharing of net benefits</w:t>
      </w:r>
      <w:r w:rsidRPr="00007910">
        <w:rPr>
          <w:rStyle w:val="FootnoteReference"/>
          <w:rFonts w:cs="Arial"/>
        </w:rPr>
        <w:footnoteReference w:id="22"/>
      </w:r>
      <w:r w:rsidRPr="00007910" w:rsidR="7AA6484E">
        <w:rPr>
          <w:rStyle w:val="fontstyle01"/>
          <w:rFonts w:ascii="Arial" w:hAnsi="Arial" w:cs="Arial"/>
        </w:rPr>
        <w:t xml:space="preserve"> (as distinct from net consumer </w:t>
      </w:r>
      <w:r w:rsidRPr="00007910" w:rsidR="47045FB8">
        <w:rPr>
          <w:rStyle w:val="fontstyle01"/>
          <w:rFonts w:ascii="Arial" w:hAnsi="Arial" w:cs="Arial"/>
        </w:rPr>
        <w:t xml:space="preserve">savings). In this regard, the Authority </w:t>
      </w:r>
      <w:r w:rsidRPr="00007910" w:rsidR="34AFEDB8">
        <w:rPr>
          <w:rStyle w:val="fontstyle01"/>
          <w:rFonts w:ascii="Arial" w:hAnsi="Arial" w:cs="Arial"/>
        </w:rPr>
        <w:t>suggests a</w:t>
      </w:r>
      <w:r w:rsidRPr="00007910" w:rsidR="47045FB8">
        <w:rPr>
          <w:rStyle w:val="fontstyle01"/>
          <w:rFonts w:ascii="Arial" w:hAnsi="Arial" w:cs="Arial"/>
        </w:rPr>
        <w:t xml:space="preserve"> more </w:t>
      </w:r>
      <w:r w:rsidRPr="00007910" w:rsidR="2F4FF18D">
        <w:rPr>
          <w:rStyle w:val="fontstyle01"/>
          <w:rFonts w:ascii="Arial" w:hAnsi="Arial" w:cs="Arial"/>
        </w:rPr>
        <w:t>conservative</w:t>
      </w:r>
      <w:r w:rsidRPr="00007910" w:rsidR="47045FB8">
        <w:rPr>
          <w:rStyle w:val="fontstyle01"/>
          <w:rFonts w:ascii="Arial" w:hAnsi="Arial" w:cs="Arial"/>
        </w:rPr>
        <w:t xml:space="preserve"> test</w:t>
      </w:r>
      <w:r w:rsidRPr="00007910" w:rsidR="311A263B">
        <w:rPr>
          <w:rStyle w:val="fontstyle01"/>
          <w:rFonts w:ascii="Arial" w:hAnsi="Arial" w:cs="Arial"/>
        </w:rPr>
        <w:t xml:space="preserve"> because either the consumer savings incentive or the customer benefit incentive would both be capped at 25% of customer savings</w:t>
      </w:r>
      <w:r w:rsidRPr="00007910" w:rsidR="47045FB8">
        <w:rPr>
          <w:rStyle w:val="fontstyle01"/>
          <w:rFonts w:ascii="Arial" w:hAnsi="Arial" w:cs="Arial"/>
        </w:rPr>
        <w:t>.</w:t>
      </w:r>
      <w:r w:rsidRPr="00007910" w:rsidR="6A3E6847">
        <w:rPr>
          <w:rStyle w:val="fontstyle01"/>
          <w:rFonts w:ascii="Arial" w:hAnsi="Arial" w:cs="Arial"/>
        </w:rPr>
        <w:t xml:space="preserve"> This structure hems the Authority’s </w:t>
      </w:r>
      <w:r w:rsidR="00BB1F1D">
        <w:rPr>
          <w:rStyle w:val="fontstyle01"/>
          <w:rFonts w:ascii="Arial" w:hAnsi="Arial" w:cs="Arial"/>
        </w:rPr>
        <w:t>approach</w:t>
      </w:r>
      <w:r w:rsidRPr="00007910" w:rsidR="6A3E6847">
        <w:rPr>
          <w:rStyle w:val="fontstyle01"/>
          <w:rFonts w:ascii="Arial" w:hAnsi="Arial" w:cs="Arial"/>
        </w:rPr>
        <w:t xml:space="preserve"> closely to pursuing customer savings at the same time </w:t>
      </w:r>
      <w:r w:rsidRPr="00007910" w:rsidR="128A8C06">
        <w:rPr>
          <w:rStyle w:val="fontstyle01"/>
          <w:rFonts w:ascii="Arial" w:hAnsi="Arial" w:cs="Arial"/>
        </w:rPr>
        <w:t>it</w:t>
      </w:r>
      <w:r w:rsidRPr="00007910" w:rsidR="6A3E6847">
        <w:rPr>
          <w:rStyle w:val="fontstyle01"/>
          <w:rFonts w:ascii="Arial" w:hAnsi="Arial" w:cs="Arial"/>
        </w:rPr>
        <w:t xml:space="preserve"> advanc</w:t>
      </w:r>
      <w:r w:rsidRPr="00007910" w:rsidR="13B2E308">
        <w:rPr>
          <w:rStyle w:val="fontstyle01"/>
          <w:rFonts w:ascii="Arial" w:hAnsi="Arial" w:cs="Arial"/>
        </w:rPr>
        <w:t>es</w:t>
      </w:r>
      <w:r w:rsidRPr="00007910" w:rsidR="6A3E6847">
        <w:rPr>
          <w:rStyle w:val="fontstyle01"/>
          <w:rFonts w:ascii="Arial" w:hAnsi="Arial" w:cs="Arial"/>
        </w:rPr>
        <w:t xml:space="preserve"> Connecticut’</w:t>
      </w:r>
      <w:r w:rsidRPr="00007910" w:rsidR="24B5EAEE">
        <w:rPr>
          <w:rStyle w:val="fontstyle01"/>
          <w:rFonts w:ascii="Arial" w:hAnsi="Arial" w:cs="Arial"/>
        </w:rPr>
        <w:t>s grid modernization through NWA and other initiatives.</w:t>
      </w:r>
    </w:p>
    <w:p w:rsidRPr="00007910" w:rsidR="00A7617D" w:rsidP="00A75E2F" w:rsidRDefault="00F9055E" w14:paraId="1D792016" w14:textId="2A1C4792">
      <w:pPr>
        <w:jc w:val="both"/>
        <w:rPr>
          <w:rStyle w:val="fontstyle01"/>
          <w:rFonts w:ascii="Arial" w:hAnsi="Arial" w:cs="Arial"/>
          <w:b/>
          <w:bCs/>
        </w:rPr>
      </w:pPr>
      <w:r w:rsidRPr="00007910">
        <w:rPr>
          <w:rStyle w:val="fontstyle01"/>
          <w:rFonts w:ascii="Arial" w:hAnsi="Arial" w:cs="Arial"/>
        </w:rPr>
        <w:t xml:space="preserve">In making the calculation of actual savings for customers, the traditional utility solution may be calculated from the year of implementation that the Authority determines is reasonable to initiate when the traditional solution would be added to </w:t>
      </w:r>
      <w:r w:rsidRPr="00007910" w:rsidR="008B21C1">
        <w:rPr>
          <w:rStyle w:val="fontstyle01"/>
          <w:rFonts w:ascii="Arial" w:hAnsi="Arial" w:cs="Arial"/>
        </w:rPr>
        <w:t>rate base</w:t>
      </w:r>
      <w:r w:rsidRPr="00007910">
        <w:rPr>
          <w:rStyle w:val="fontstyle01"/>
          <w:rFonts w:ascii="Arial" w:hAnsi="Arial" w:cs="Arial"/>
        </w:rPr>
        <w:t xml:space="preserve">. The calculation of actual savings for customers may include </w:t>
      </w:r>
      <w:r w:rsidRPr="00007910" w:rsidR="002562F3">
        <w:rPr>
          <w:rStyle w:val="fontstyle01"/>
          <w:rFonts w:ascii="Arial" w:hAnsi="Arial" w:cs="Arial"/>
        </w:rPr>
        <w:t xml:space="preserve">the </w:t>
      </w:r>
      <w:r w:rsidRPr="00007910">
        <w:rPr>
          <w:rStyle w:val="fontstyle01"/>
          <w:rFonts w:ascii="Arial" w:hAnsi="Arial" w:cs="Arial"/>
        </w:rPr>
        <w:t>utilit</w:t>
      </w:r>
      <w:r w:rsidRPr="00007910" w:rsidR="00C6184E">
        <w:rPr>
          <w:rStyle w:val="fontstyle01"/>
          <w:rFonts w:ascii="Arial" w:hAnsi="Arial" w:cs="Arial"/>
        </w:rPr>
        <w:t>y’s</w:t>
      </w:r>
      <w:r w:rsidRPr="00007910">
        <w:rPr>
          <w:rStyle w:val="fontstyle01"/>
          <w:rFonts w:ascii="Arial" w:hAnsi="Arial" w:cs="Arial"/>
        </w:rPr>
        <w:t xml:space="preserve"> approved rate of return on capital components, </w:t>
      </w:r>
      <w:r w:rsidRPr="00007910" w:rsidR="008B21C1">
        <w:rPr>
          <w:rStyle w:val="fontstyle01"/>
          <w:rFonts w:ascii="Arial" w:hAnsi="Arial" w:cs="Arial"/>
        </w:rPr>
        <w:t>amortization</w:t>
      </w:r>
      <w:r w:rsidRPr="00007910">
        <w:rPr>
          <w:rStyle w:val="fontstyle01"/>
          <w:rFonts w:ascii="Arial" w:hAnsi="Arial" w:cs="Arial"/>
        </w:rPr>
        <w:t>/depreciation expense</w:t>
      </w:r>
      <w:r w:rsidRPr="00007910" w:rsidR="00B55E60">
        <w:rPr>
          <w:rStyle w:val="fontstyle01"/>
          <w:rFonts w:ascii="Arial" w:hAnsi="Arial" w:cs="Arial"/>
        </w:rPr>
        <w:t>,</w:t>
      </w:r>
      <w:r w:rsidRPr="00007910">
        <w:rPr>
          <w:rStyle w:val="fontstyle01"/>
          <w:rFonts w:ascii="Arial" w:hAnsi="Arial" w:cs="Arial"/>
        </w:rPr>
        <w:t xml:space="preserve"> and operation</w:t>
      </w:r>
      <w:r w:rsidRPr="00007910" w:rsidR="00C6184E">
        <w:rPr>
          <w:rStyle w:val="fontstyle01"/>
          <w:rFonts w:ascii="Arial" w:hAnsi="Arial" w:cs="Arial"/>
        </w:rPr>
        <w:t>al</w:t>
      </w:r>
      <w:r w:rsidRPr="00007910">
        <w:rPr>
          <w:rStyle w:val="fontstyle01"/>
          <w:rFonts w:ascii="Arial" w:hAnsi="Arial" w:cs="Arial"/>
        </w:rPr>
        <w:t xml:space="preserve"> expenses as if the traditional solution were included in</w:t>
      </w:r>
      <w:r w:rsidRPr="00007910" w:rsidR="00C6184E">
        <w:rPr>
          <w:rStyle w:val="fontstyle01"/>
          <w:rFonts w:ascii="Arial" w:hAnsi="Arial" w:cs="Arial"/>
        </w:rPr>
        <w:t xml:space="preserve"> utility</w:t>
      </w:r>
      <w:r w:rsidRPr="00007910">
        <w:rPr>
          <w:rStyle w:val="fontstyle01"/>
          <w:rFonts w:ascii="Arial" w:hAnsi="Arial" w:cs="Arial"/>
        </w:rPr>
        <w:t xml:space="preserve"> </w:t>
      </w:r>
      <w:r w:rsidRPr="00007910" w:rsidR="008B21C1">
        <w:rPr>
          <w:rStyle w:val="fontstyle01"/>
          <w:rFonts w:ascii="Arial" w:hAnsi="Arial" w:cs="Arial"/>
        </w:rPr>
        <w:t>rate base</w:t>
      </w:r>
      <w:r w:rsidRPr="00007910" w:rsidR="1F8C1554">
        <w:rPr>
          <w:rStyle w:val="fontstyle01"/>
          <w:rFonts w:ascii="Arial" w:hAnsi="Arial" w:cs="Arial"/>
        </w:rPr>
        <w:t xml:space="preserve"> to produce a counter-factual baseline as if the NWA had not gone forward that is used to calculate the customer savings </w:t>
      </w:r>
      <w:r w:rsidRPr="00007910" w:rsidR="002562F3">
        <w:rPr>
          <w:rStyle w:val="fontstyle01"/>
          <w:rFonts w:ascii="Arial" w:hAnsi="Arial" w:cs="Arial"/>
        </w:rPr>
        <w:t>for</w:t>
      </w:r>
      <w:r w:rsidRPr="00007910" w:rsidR="1F8C1554">
        <w:rPr>
          <w:rStyle w:val="fontstyle01"/>
          <w:rFonts w:ascii="Arial" w:hAnsi="Arial" w:cs="Arial"/>
        </w:rPr>
        <w:t xml:space="preserve"> the NWA</w:t>
      </w:r>
      <w:r w:rsidRPr="00007910">
        <w:rPr>
          <w:rStyle w:val="fontstyle01"/>
          <w:rFonts w:ascii="Arial" w:hAnsi="Arial" w:cs="Arial"/>
        </w:rPr>
        <w:t xml:space="preserve">. </w:t>
      </w:r>
    </w:p>
    <w:p w:rsidRPr="00007910" w:rsidR="65F5E2AC" w:rsidP="00A75E2F" w:rsidRDefault="65F5E2AC" w14:paraId="2C2AC4C6" w14:textId="466B28BF">
      <w:pPr>
        <w:jc w:val="both"/>
        <w:rPr>
          <w:rStyle w:val="fontstyle01"/>
          <w:rFonts w:ascii="Arial" w:hAnsi="Arial" w:cs="Arial"/>
        </w:rPr>
      </w:pPr>
      <w:r w:rsidRPr="00007910">
        <w:rPr>
          <w:rStyle w:val="fontstyle01"/>
          <w:rFonts w:ascii="Arial" w:hAnsi="Arial" w:cs="Arial"/>
        </w:rPr>
        <w:t>The Authority requests that the Third-Party Administrator calculate consumer savings compared to traditional utility plant costs as well as net grid and customer benefits below in Section VI.</w:t>
      </w:r>
      <w:r w:rsidRPr="00007910" w:rsidR="573C452A">
        <w:rPr>
          <w:rStyle w:val="fontstyle01"/>
          <w:rFonts w:ascii="Arial" w:hAnsi="Arial" w:cs="Arial"/>
        </w:rPr>
        <w:t xml:space="preserve"> C</w:t>
      </w:r>
      <w:r w:rsidR="00BB1F1D">
        <w:rPr>
          <w:rStyle w:val="fontstyle01"/>
          <w:rFonts w:ascii="Arial" w:hAnsi="Arial" w:cs="Arial"/>
        </w:rPr>
        <w:t>ustome</w:t>
      </w:r>
      <w:r w:rsidRPr="00007910" w:rsidR="573C452A">
        <w:rPr>
          <w:rStyle w:val="fontstyle01"/>
          <w:rFonts w:ascii="Arial" w:hAnsi="Arial" w:cs="Arial"/>
        </w:rPr>
        <w:t>r savings may include savings for any costs</w:t>
      </w:r>
      <w:r w:rsidR="00BB1F1D">
        <w:rPr>
          <w:rStyle w:val="fontstyle01"/>
          <w:rFonts w:ascii="Arial" w:hAnsi="Arial" w:cs="Arial"/>
        </w:rPr>
        <w:t xml:space="preserve"> --</w:t>
      </w:r>
      <w:r w:rsidRPr="00007910" w:rsidR="573C452A">
        <w:rPr>
          <w:rStyle w:val="fontstyle01"/>
          <w:rFonts w:ascii="Arial" w:hAnsi="Arial" w:cs="Arial"/>
        </w:rPr>
        <w:t xml:space="preserve"> whether distribution system, ISO-NE transmission or capacity allocations or market savings</w:t>
      </w:r>
      <w:r w:rsidRPr="00007910" w:rsidR="008E68A0">
        <w:rPr>
          <w:rStyle w:val="fontstyle01"/>
          <w:rFonts w:ascii="Arial" w:hAnsi="Arial" w:cs="Arial"/>
        </w:rPr>
        <w:t>.</w:t>
      </w:r>
      <w:r w:rsidR="00BB1F1D">
        <w:rPr>
          <w:rStyle w:val="fontstyle01"/>
          <w:rFonts w:ascii="Arial" w:hAnsi="Arial" w:cs="Arial"/>
        </w:rPr>
        <w:t xml:space="preserve"> </w:t>
      </w:r>
      <w:r w:rsidRPr="00007910">
        <w:rPr>
          <w:rStyle w:val="fontstyle01"/>
          <w:rFonts w:ascii="Arial" w:hAnsi="Arial" w:cs="Arial"/>
        </w:rPr>
        <w:t>It</w:t>
      </w:r>
      <w:r w:rsidRPr="00007910" w:rsidR="54394C6E">
        <w:rPr>
          <w:rStyle w:val="fontstyle01"/>
          <w:rFonts w:ascii="Arial" w:hAnsi="Arial" w:cs="Arial"/>
        </w:rPr>
        <w:t xml:space="preserve"> is important for the Authority to consider both customer savings compared to a distribution system plant addition in a business as usual case, thus the customer savings, and the total gr</w:t>
      </w:r>
      <w:r w:rsidR="00BB1F1D">
        <w:rPr>
          <w:rStyle w:val="fontstyle01"/>
          <w:rFonts w:ascii="Arial" w:hAnsi="Arial" w:cs="Arial"/>
        </w:rPr>
        <w:t>i</w:t>
      </w:r>
      <w:r w:rsidRPr="00007910" w:rsidR="54394C6E">
        <w:rPr>
          <w:rStyle w:val="fontstyle01"/>
          <w:rFonts w:ascii="Arial" w:hAnsi="Arial" w:cs="Arial"/>
        </w:rPr>
        <w:t>d and customer benefits</w:t>
      </w:r>
      <w:r w:rsidR="00BB1F1D">
        <w:rPr>
          <w:rStyle w:val="fontstyle01"/>
          <w:rFonts w:ascii="Arial" w:hAnsi="Arial" w:cs="Arial"/>
        </w:rPr>
        <w:t>,</w:t>
      </w:r>
      <w:r w:rsidRPr="00007910" w:rsidR="54394C6E">
        <w:rPr>
          <w:rStyle w:val="fontstyle01"/>
          <w:rFonts w:ascii="Arial" w:hAnsi="Arial" w:cs="Arial"/>
        </w:rPr>
        <w:t xml:space="preserve"> which may well be a broader</w:t>
      </w:r>
      <w:r w:rsidRPr="00007910" w:rsidR="12DE31A0">
        <w:rPr>
          <w:rStyle w:val="fontstyle01"/>
          <w:rFonts w:ascii="Arial" w:hAnsi="Arial" w:cs="Arial"/>
        </w:rPr>
        <w:t xml:space="preserve"> set of considerations tha</w:t>
      </w:r>
      <w:r w:rsidRPr="00007910" w:rsidR="008E68A0">
        <w:rPr>
          <w:rStyle w:val="fontstyle01"/>
          <w:rFonts w:ascii="Arial" w:hAnsi="Arial" w:cs="Arial"/>
        </w:rPr>
        <w:t>n</w:t>
      </w:r>
      <w:r w:rsidRPr="00007910" w:rsidR="12DE31A0">
        <w:rPr>
          <w:rStyle w:val="fontstyle01"/>
          <w:rFonts w:ascii="Arial" w:hAnsi="Arial" w:cs="Arial"/>
        </w:rPr>
        <w:t xml:space="preserve"> customer costs.</w:t>
      </w:r>
    </w:p>
    <w:p w:rsidRPr="00007910" w:rsidR="005806F7" w:rsidP="005806F7" w:rsidRDefault="005806F7" w14:paraId="3E03C5DB" w14:textId="64779AF2">
      <w:pPr>
        <w:rPr>
          <w:rStyle w:val="fontstyle01"/>
          <w:rFonts w:ascii="Arial" w:hAnsi="Arial" w:cs="Arial"/>
        </w:rPr>
      </w:pPr>
    </w:p>
    <w:p w:rsidRPr="00007910" w:rsidR="00A7617D" w:rsidP="00F0374A" w:rsidRDefault="00A7617D" w14:paraId="4970461F" w14:textId="688D4B86">
      <w:pPr>
        <w:pStyle w:val="ListParagraph"/>
        <w:numPr>
          <w:ilvl w:val="0"/>
          <w:numId w:val="4"/>
        </w:numPr>
        <w:rPr>
          <w:rStyle w:val="fontstyle01"/>
          <w:rFonts w:ascii="Arial" w:hAnsi="Arial" w:cs="Arial"/>
          <w:b/>
          <w:bCs/>
        </w:rPr>
      </w:pPr>
      <w:r w:rsidRPr="00007910">
        <w:rPr>
          <w:rStyle w:val="fontstyle01"/>
          <w:rFonts w:ascii="Arial" w:hAnsi="Arial" w:cs="Arial"/>
          <w:b/>
          <w:bCs/>
        </w:rPr>
        <w:t>UTILITY INCENTIVES TO ACHIEVE SUPERIOR GRID AND CUSTOMER BENEFITS</w:t>
      </w:r>
    </w:p>
    <w:p w:rsidRPr="00007910" w:rsidR="00874657" w:rsidP="00A75E2F" w:rsidRDefault="00992257" w14:paraId="38027A50" w14:textId="5B0E8F1A">
      <w:pPr>
        <w:jc w:val="both"/>
        <w:rPr>
          <w:rStyle w:val="fontstyle01"/>
          <w:rFonts w:ascii="Arial" w:hAnsi="Arial" w:cs="Arial"/>
        </w:rPr>
      </w:pPr>
      <w:r w:rsidRPr="00007910">
        <w:rPr>
          <w:rStyle w:val="fontstyle01"/>
          <w:rFonts w:ascii="Arial" w:hAnsi="Arial" w:cs="Arial"/>
        </w:rPr>
        <w:t>Where an NWA solution offers EDC, grid, wholesale market, ISO-NE expenses</w:t>
      </w:r>
      <w:r w:rsidRPr="00007910" w:rsidR="005806F7">
        <w:rPr>
          <w:rStyle w:val="fontstyle01"/>
          <w:rFonts w:ascii="Arial" w:hAnsi="Arial" w:cs="Arial"/>
        </w:rPr>
        <w:t>,</w:t>
      </w:r>
      <w:r w:rsidRPr="00007910">
        <w:rPr>
          <w:rStyle w:val="fontstyle01"/>
          <w:rFonts w:ascii="Arial" w:hAnsi="Arial" w:cs="Arial"/>
        </w:rPr>
        <w:t xml:space="preserve"> or customer benefits beyond a dollar savings, the Third-Party Administrator may attempt to quantify the value of those additional savings. Such additional savings may involve resilienc</w:t>
      </w:r>
      <w:r w:rsidRPr="00007910" w:rsidR="000034C1">
        <w:rPr>
          <w:rStyle w:val="fontstyle01"/>
          <w:rFonts w:ascii="Arial" w:hAnsi="Arial" w:cs="Arial"/>
        </w:rPr>
        <w:t>y</w:t>
      </w:r>
      <w:r w:rsidRPr="00007910" w:rsidR="6436C5BC">
        <w:rPr>
          <w:rStyle w:val="fontstyle01"/>
          <w:rFonts w:ascii="Arial" w:hAnsi="Arial" w:cs="Arial"/>
        </w:rPr>
        <w:t>,</w:t>
      </w:r>
      <w:r w:rsidRPr="00007910">
        <w:rPr>
          <w:rStyle w:val="fontstyle01"/>
          <w:rFonts w:ascii="Arial" w:hAnsi="Arial" w:cs="Arial"/>
        </w:rPr>
        <w:t xml:space="preserve"> reliability</w:t>
      </w:r>
      <w:r w:rsidRPr="00007910" w:rsidR="498B680A">
        <w:rPr>
          <w:rStyle w:val="fontstyle01"/>
          <w:rFonts w:ascii="Arial" w:hAnsi="Arial" w:cs="Arial"/>
        </w:rPr>
        <w:t>, environmental</w:t>
      </w:r>
      <w:r w:rsidRPr="00007910" w:rsidR="005806F7">
        <w:rPr>
          <w:rStyle w:val="fontstyle01"/>
          <w:rFonts w:ascii="Arial" w:hAnsi="Arial" w:cs="Arial"/>
        </w:rPr>
        <w:t>,</w:t>
      </w:r>
      <w:r w:rsidRPr="00007910">
        <w:rPr>
          <w:rStyle w:val="fontstyle01"/>
          <w:rFonts w:ascii="Arial" w:hAnsi="Arial" w:cs="Arial"/>
        </w:rPr>
        <w:t xml:space="preserve"> or other attributions that a traditional EDC solution could not achieve.</w:t>
      </w:r>
    </w:p>
    <w:p w:rsidRPr="00007910" w:rsidR="002409DD" w:rsidP="00A75E2F" w:rsidRDefault="00992257" w14:paraId="3DF5D2AC" w14:textId="681B8C9B">
      <w:pPr>
        <w:jc w:val="both"/>
        <w:rPr>
          <w:rStyle w:val="fontstyle01"/>
          <w:rFonts w:ascii="Arial" w:hAnsi="Arial" w:cs="Arial"/>
        </w:rPr>
      </w:pPr>
      <w:r w:rsidRPr="00007910">
        <w:rPr>
          <w:rStyle w:val="fontstyle01"/>
          <w:rFonts w:ascii="Arial" w:hAnsi="Arial" w:cs="Arial"/>
        </w:rPr>
        <w:t>The Authority may approve EDC performance incentives for up to half the calculated value of additional, superior grid</w:t>
      </w:r>
      <w:r w:rsidRPr="00007910" w:rsidR="00AD6EEA">
        <w:rPr>
          <w:rStyle w:val="fontstyle01"/>
          <w:rFonts w:ascii="Arial" w:hAnsi="Arial" w:cs="Arial"/>
        </w:rPr>
        <w:t>,</w:t>
      </w:r>
      <w:r w:rsidRPr="00007910">
        <w:rPr>
          <w:rStyle w:val="fontstyle01"/>
          <w:rFonts w:ascii="Arial" w:hAnsi="Arial" w:cs="Arial"/>
        </w:rPr>
        <w:t xml:space="preserve"> and/or customer benefits</w:t>
      </w:r>
      <w:r w:rsidRPr="00007910" w:rsidR="7F862103">
        <w:rPr>
          <w:rStyle w:val="fontstyle01"/>
          <w:rFonts w:ascii="Arial" w:hAnsi="Arial" w:cs="Arial"/>
        </w:rPr>
        <w:t xml:space="preserve"> provided that the total grid and customer benefit incentives shall not exceed the customer savings incentives described in Section</w:t>
      </w:r>
      <w:r w:rsidRPr="00007910" w:rsidR="31E20B8F">
        <w:rPr>
          <w:rStyle w:val="fontstyle01"/>
          <w:rFonts w:ascii="Arial" w:hAnsi="Arial" w:cs="Arial"/>
        </w:rPr>
        <w:t xml:space="preserve"> V above</w:t>
      </w:r>
      <w:r w:rsidRPr="00007910">
        <w:rPr>
          <w:rStyle w:val="fontstyle01"/>
          <w:rFonts w:ascii="Arial" w:hAnsi="Arial" w:cs="Arial"/>
        </w:rPr>
        <w:t>.</w:t>
      </w:r>
      <w:r w:rsidRPr="00007910" w:rsidR="00C6184E">
        <w:rPr>
          <w:rStyle w:val="fontstyle01"/>
          <w:rFonts w:ascii="Arial" w:hAnsi="Arial" w:cs="Arial"/>
        </w:rPr>
        <w:t xml:space="preserve"> The benefit performance incentive may be in in lieu of a </w:t>
      </w:r>
      <w:r w:rsidRPr="00007910" w:rsidR="00A173FB">
        <w:rPr>
          <w:rStyle w:val="fontstyle01"/>
          <w:rFonts w:ascii="Arial" w:hAnsi="Arial" w:cs="Arial"/>
        </w:rPr>
        <w:t>customer savings incentive</w:t>
      </w:r>
      <w:r w:rsidRPr="00007910" w:rsidR="00C6184E">
        <w:rPr>
          <w:rStyle w:val="fontstyle01"/>
          <w:rFonts w:ascii="Arial" w:hAnsi="Arial" w:cs="Arial"/>
        </w:rPr>
        <w:t xml:space="preserve"> as discussed in Section</w:t>
      </w:r>
      <w:r w:rsidRPr="00007910" w:rsidR="00273E7C">
        <w:rPr>
          <w:rStyle w:val="fontstyle01"/>
          <w:rFonts w:ascii="Arial" w:hAnsi="Arial" w:cs="Arial"/>
        </w:rPr>
        <w:t xml:space="preserve"> </w:t>
      </w:r>
      <w:r w:rsidRPr="00007910" w:rsidR="002409DD">
        <w:rPr>
          <w:rStyle w:val="fontstyle01"/>
          <w:rFonts w:ascii="Arial" w:hAnsi="Arial" w:cs="Arial"/>
        </w:rPr>
        <w:t>V based on the particular recommendations of the Third-Party Administrator and the Authority’s view of the benefits, costs and risk allocation</w:t>
      </w:r>
      <w:r w:rsidRPr="00007910" w:rsidR="00273E7C">
        <w:rPr>
          <w:rStyle w:val="fontstyle01"/>
          <w:rFonts w:ascii="Arial" w:hAnsi="Arial" w:cs="Arial"/>
        </w:rPr>
        <w:t>,</w:t>
      </w:r>
      <w:r w:rsidRPr="00007910" w:rsidR="002409DD">
        <w:rPr>
          <w:rStyle w:val="fontstyle01"/>
          <w:rFonts w:ascii="Arial" w:hAnsi="Arial" w:cs="Arial"/>
        </w:rPr>
        <w:t xml:space="preserve"> as well as </w:t>
      </w:r>
      <w:r w:rsidR="00A75E2F">
        <w:rPr>
          <w:rStyle w:val="fontstyle01"/>
          <w:rFonts w:ascii="Arial" w:hAnsi="Arial" w:cs="Arial"/>
        </w:rPr>
        <w:t xml:space="preserve">the </w:t>
      </w:r>
      <w:r w:rsidRPr="00007910" w:rsidR="002409DD">
        <w:rPr>
          <w:rStyle w:val="fontstyle01"/>
          <w:rFonts w:ascii="Arial" w:hAnsi="Arial" w:cs="Arial"/>
        </w:rPr>
        <w:t xml:space="preserve">party best situated to manage the risks for implementation and </w:t>
      </w:r>
      <w:r w:rsidRPr="00007910" w:rsidR="002409DD">
        <w:rPr>
          <w:rStyle w:val="fontstyle01"/>
          <w:rFonts w:ascii="Arial" w:hAnsi="Arial" w:cs="Arial"/>
        </w:rPr>
        <w:lastRenderedPageBreak/>
        <w:t>project management.</w:t>
      </w:r>
      <w:r w:rsidRPr="00007910" w:rsidR="00A2223E">
        <w:rPr>
          <w:rStyle w:val="fontstyle01"/>
          <w:rFonts w:ascii="Arial" w:hAnsi="Arial" w:cs="Arial"/>
        </w:rPr>
        <w:t xml:space="preserve"> </w:t>
      </w:r>
      <w:r w:rsidRPr="00007910" w:rsidR="1E9BC9C6">
        <w:rPr>
          <w:rStyle w:val="fontstyle01"/>
          <w:rFonts w:ascii="Arial" w:hAnsi="Arial" w:cs="Arial"/>
        </w:rPr>
        <w:t>However, 50% of net customer benefits remains capped at 25% of customer savings as described in Section V above. For this reason</w:t>
      </w:r>
      <w:r w:rsidRPr="00007910" w:rsidR="5088EBA7">
        <w:rPr>
          <w:rStyle w:val="fontstyle01"/>
          <w:rFonts w:ascii="Arial" w:hAnsi="Arial" w:cs="Arial"/>
        </w:rPr>
        <w:t xml:space="preserve">, the Authority </w:t>
      </w:r>
      <w:r w:rsidR="00A75E2F">
        <w:rPr>
          <w:rStyle w:val="fontstyle01"/>
          <w:rFonts w:ascii="Arial" w:hAnsi="Arial" w:cs="Arial"/>
        </w:rPr>
        <w:t>approves</w:t>
      </w:r>
      <w:r w:rsidRPr="00007910" w:rsidR="5088EBA7">
        <w:rPr>
          <w:rStyle w:val="fontstyle01"/>
          <w:rFonts w:ascii="Arial" w:hAnsi="Arial" w:cs="Arial"/>
        </w:rPr>
        <w:t xml:space="preserve"> up to 50% of net customer benefits, mainly because this incentive may not exceed </w:t>
      </w:r>
      <w:r w:rsidRPr="00007910" w:rsidR="2586924C">
        <w:rPr>
          <w:rStyle w:val="fontstyle01"/>
          <w:rFonts w:ascii="Arial" w:hAnsi="Arial" w:cs="Arial"/>
        </w:rPr>
        <w:t>25% of customer savings compared to traditional utility infrastructure and traditional utility returns.</w:t>
      </w:r>
    </w:p>
    <w:p w:rsidRPr="00007910" w:rsidR="00874657" w:rsidP="00A75E2F" w:rsidRDefault="00A2223E" w14:paraId="7672FDCB" w14:textId="01F6AF8C">
      <w:pPr>
        <w:jc w:val="both"/>
        <w:rPr>
          <w:rStyle w:val="fontstyle01"/>
          <w:rFonts w:ascii="Arial" w:hAnsi="Arial" w:cs="Arial"/>
        </w:rPr>
      </w:pPr>
      <w:r w:rsidRPr="00007910">
        <w:rPr>
          <w:rStyle w:val="fontstyle01"/>
          <w:rFonts w:ascii="Arial" w:hAnsi="Arial" w:cs="Arial"/>
        </w:rPr>
        <w:t>To earn a utility incentive, the superior grid benefits and customer benefits must be quantified and accepted by PURA in establishing the NWA. The EDC is entitle</w:t>
      </w:r>
      <w:r w:rsidRPr="00007910" w:rsidR="00EA431F">
        <w:rPr>
          <w:rStyle w:val="fontstyle01"/>
          <w:rFonts w:ascii="Arial" w:hAnsi="Arial" w:cs="Arial"/>
        </w:rPr>
        <w:t>d</w:t>
      </w:r>
      <w:r w:rsidRPr="00007910">
        <w:rPr>
          <w:rStyle w:val="fontstyle01"/>
          <w:rFonts w:ascii="Arial" w:hAnsi="Arial" w:cs="Arial"/>
        </w:rPr>
        <w:t xml:space="preserve"> to clear guidance on what incentives it can </w:t>
      </w:r>
      <w:proofErr w:type="gramStart"/>
      <w:r w:rsidRPr="00007910">
        <w:rPr>
          <w:rStyle w:val="fontstyle01"/>
          <w:rFonts w:ascii="Arial" w:hAnsi="Arial" w:cs="Arial"/>
        </w:rPr>
        <w:t>earn</w:t>
      </w:r>
      <w:proofErr w:type="gramEnd"/>
      <w:r w:rsidRPr="00007910">
        <w:rPr>
          <w:rStyle w:val="fontstyle01"/>
          <w:rFonts w:ascii="Arial" w:hAnsi="Arial" w:cs="Arial"/>
        </w:rPr>
        <w:t xml:space="preserve"> and the ratepayers are entitled to clear quantifications to show how those incentives that ratepayers will pay are earned by an EDC.</w:t>
      </w:r>
    </w:p>
    <w:p w:rsidRPr="00007910" w:rsidR="00874657" w:rsidP="00874657" w:rsidRDefault="00874657" w14:paraId="14BF7675" w14:textId="77777777">
      <w:pPr>
        <w:pStyle w:val="ListParagraph"/>
        <w:rPr>
          <w:rStyle w:val="fontstyle01"/>
          <w:rFonts w:ascii="Arial" w:hAnsi="Arial" w:cs="Arial"/>
          <w:b/>
          <w:bCs/>
        </w:rPr>
      </w:pPr>
    </w:p>
    <w:p w:rsidRPr="00007910" w:rsidR="00874657" w:rsidP="00F0374A" w:rsidRDefault="00993756" w14:paraId="78353768" w14:textId="2BDBCCEE">
      <w:pPr>
        <w:pStyle w:val="ListParagraph"/>
        <w:numPr>
          <w:ilvl w:val="0"/>
          <w:numId w:val="4"/>
        </w:numPr>
        <w:rPr>
          <w:rStyle w:val="fontstyle01"/>
          <w:rFonts w:ascii="Arial" w:hAnsi="Arial" w:cs="Arial"/>
          <w:b/>
          <w:bCs/>
        </w:rPr>
      </w:pPr>
      <w:r w:rsidRPr="00007910">
        <w:rPr>
          <w:rStyle w:val="fontstyle01"/>
          <w:rFonts w:ascii="Arial" w:hAnsi="Arial" w:cs="Arial"/>
          <w:b/>
          <w:bCs/>
        </w:rPr>
        <w:t>SUMMARY</w:t>
      </w:r>
    </w:p>
    <w:p w:rsidRPr="00007910" w:rsidR="00F0374A" w:rsidP="00A75E2F" w:rsidRDefault="002409DD" w14:paraId="6BD4C776" w14:textId="3593022C">
      <w:pPr>
        <w:jc w:val="both"/>
        <w:rPr>
          <w:rStyle w:val="fontstyle01"/>
          <w:rFonts w:ascii="Arial" w:hAnsi="Arial" w:cs="Arial"/>
          <w:u w:val="single"/>
        </w:rPr>
      </w:pPr>
      <w:r w:rsidRPr="00007910">
        <w:rPr>
          <w:rStyle w:val="fontstyle01"/>
          <w:rFonts w:ascii="Arial" w:hAnsi="Arial" w:cs="Arial"/>
        </w:rPr>
        <w:t>The Authority hereby concludes that encoura</w:t>
      </w:r>
      <w:r w:rsidRPr="00007910" w:rsidR="00FF3FC4">
        <w:rPr>
          <w:rStyle w:val="fontstyle01"/>
          <w:rFonts w:ascii="Arial" w:hAnsi="Arial" w:cs="Arial"/>
        </w:rPr>
        <w:t>g</w:t>
      </w:r>
      <w:r w:rsidRPr="00007910">
        <w:rPr>
          <w:rStyle w:val="fontstyle01"/>
          <w:rFonts w:ascii="Arial" w:hAnsi="Arial" w:cs="Arial"/>
        </w:rPr>
        <w:t>ing NWA consideration through an independent</w:t>
      </w:r>
      <w:r w:rsidR="00A75E2F">
        <w:rPr>
          <w:rStyle w:val="fontstyle01"/>
          <w:rFonts w:ascii="Arial" w:hAnsi="Arial" w:cs="Arial"/>
        </w:rPr>
        <w:t xml:space="preserve"> </w:t>
      </w:r>
      <w:r w:rsidRPr="00007910">
        <w:rPr>
          <w:rStyle w:val="fontstyle01"/>
          <w:rFonts w:ascii="Arial" w:hAnsi="Arial" w:cs="Arial"/>
        </w:rPr>
        <w:t xml:space="preserve">Third-Party Administrator is in the best interests of Connecticut’s EDC customers. The Third-Party Administrator would be selected by PURA to run a regular review of EDC system </w:t>
      </w:r>
      <w:r w:rsidRPr="00007910" w:rsidR="00FF3FC4">
        <w:rPr>
          <w:rStyle w:val="fontstyle01"/>
          <w:rFonts w:ascii="Arial" w:hAnsi="Arial" w:cs="Arial"/>
        </w:rPr>
        <w:t>distribution</w:t>
      </w:r>
      <w:r w:rsidRPr="00007910">
        <w:rPr>
          <w:rStyle w:val="fontstyle01"/>
          <w:rFonts w:ascii="Arial" w:hAnsi="Arial" w:cs="Arial"/>
        </w:rPr>
        <w:t xml:space="preserve"> needs to identify and consider NWA opportunities</w:t>
      </w:r>
      <w:r w:rsidRPr="00007910" w:rsidR="00405268">
        <w:rPr>
          <w:rStyle w:val="fontstyle01"/>
          <w:rFonts w:ascii="Arial" w:hAnsi="Arial" w:cs="Arial"/>
        </w:rPr>
        <w:t xml:space="preserve"> through an open, transparent stakeholder process</w:t>
      </w:r>
      <w:r w:rsidRPr="00007910">
        <w:rPr>
          <w:rStyle w:val="fontstyle01"/>
          <w:rFonts w:ascii="Arial" w:hAnsi="Arial" w:cs="Arial"/>
        </w:rPr>
        <w:t>. When appropriate</w:t>
      </w:r>
      <w:r w:rsidR="00A75E2F">
        <w:rPr>
          <w:rStyle w:val="fontstyle01"/>
          <w:rFonts w:ascii="Arial" w:hAnsi="Arial" w:cs="Arial"/>
        </w:rPr>
        <w:t>,</w:t>
      </w:r>
      <w:r w:rsidRPr="00007910">
        <w:rPr>
          <w:rStyle w:val="fontstyle01"/>
          <w:rFonts w:ascii="Arial" w:hAnsi="Arial" w:cs="Arial"/>
        </w:rPr>
        <w:t xml:space="preserve"> the Third-Party Administrator will be authorized to </w:t>
      </w:r>
      <w:r w:rsidRPr="00007910" w:rsidR="00FF3FC4">
        <w:rPr>
          <w:rStyle w:val="fontstyle01"/>
          <w:rFonts w:ascii="Arial" w:hAnsi="Arial" w:cs="Arial"/>
        </w:rPr>
        <w:t>solicit</w:t>
      </w:r>
      <w:r w:rsidRPr="00007910">
        <w:rPr>
          <w:rStyle w:val="fontstyle01"/>
          <w:rFonts w:ascii="Arial" w:hAnsi="Arial" w:cs="Arial"/>
        </w:rPr>
        <w:t xml:space="preserve"> NWA proposals, fully evaluate those proposals</w:t>
      </w:r>
      <w:r w:rsidRPr="00007910" w:rsidR="004F445B">
        <w:rPr>
          <w:rStyle w:val="fontstyle01"/>
          <w:rFonts w:ascii="Arial" w:hAnsi="Arial" w:cs="Arial"/>
        </w:rPr>
        <w:t>,</w:t>
      </w:r>
      <w:r w:rsidRPr="00007910">
        <w:rPr>
          <w:rStyle w:val="fontstyle01"/>
          <w:rFonts w:ascii="Arial" w:hAnsi="Arial" w:cs="Arial"/>
        </w:rPr>
        <w:t xml:space="preserve"> and make consensus or its own recommendations to the Authority</w:t>
      </w:r>
      <w:r w:rsidRPr="00007910" w:rsidR="00646BFA">
        <w:rPr>
          <w:rStyle w:val="fontstyle01"/>
          <w:rFonts w:ascii="Arial" w:hAnsi="Arial" w:cs="Arial"/>
        </w:rPr>
        <w:t xml:space="preserve">, which the </w:t>
      </w:r>
      <w:r w:rsidR="00A75E2F">
        <w:rPr>
          <w:rStyle w:val="fontstyle01"/>
          <w:rFonts w:ascii="Arial" w:hAnsi="Arial" w:cs="Arial"/>
        </w:rPr>
        <w:t>A</w:t>
      </w:r>
      <w:r w:rsidRPr="00007910" w:rsidR="00646BFA">
        <w:rPr>
          <w:rStyle w:val="fontstyle01"/>
          <w:rFonts w:ascii="Arial" w:hAnsi="Arial" w:cs="Arial"/>
        </w:rPr>
        <w:t xml:space="preserve">uthority will consider through a </w:t>
      </w:r>
      <w:r w:rsidRPr="00007910" w:rsidR="00C202A8">
        <w:rPr>
          <w:rStyle w:val="fontstyle01"/>
          <w:rFonts w:ascii="Arial" w:hAnsi="Arial" w:cs="Arial"/>
        </w:rPr>
        <w:t xml:space="preserve">distinct </w:t>
      </w:r>
      <w:r w:rsidRPr="00007910" w:rsidR="00646BFA">
        <w:rPr>
          <w:rStyle w:val="fontstyle01"/>
          <w:rFonts w:ascii="Arial" w:hAnsi="Arial" w:cs="Arial"/>
        </w:rPr>
        <w:t>docketed proceeding</w:t>
      </w:r>
      <w:r w:rsidRPr="00007910">
        <w:rPr>
          <w:rStyle w:val="fontstyle01"/>
          <w:rFonts w:ascii="Arial" w:hAnsi="Arial" w:cs="Arial"/>
        </w:rPr>
        <w:t xml:space="preserve">. </w:t>
      </w:r>
      <w:r w:rsidRPr="00007910" w:rsidR="00761BAA">
        <w:rPr>
          <w:rStyle w:val="fontstyle01"/>
          <w:rFonts w:ascii="Arial" w:hAnsi="Arial" w:cs="Arial"/>
        </w:rPr>
        <w:t xml:space="preserve">The Authority anticipates a </w:t>
      </w:r>
      <w:r w:rsidRPr="00007910">
        <w:rPr>
          <w:rStyle w:val="fontstyle01"/>
          <w:rFonts w:ascii="Arial" w:hAnsi="Arial" w:cs="Arial"/>
        </w:rPr>
        <w:t>transparent process throughout</w:t>
      </w:r>
      <w:r w:rsidRPr="00007910" w:rsidR="00761BAA">
        <w:rPr>
          <w:rStyle w:val="fontstyle01"/>
          <w:rFonts w:ascii="Arial" w:hAnsi="Arial" w:cs="Arial"/>
        </w:rPr>
        <w:t xml:space="preserve">, aided by the </w:t>
      </w:r>
      <w:r w:rsidRPr="00007910" w:rsidR="00F6260E">
        <w:rPr>
          <w:rStyle w:val="fontstyle01"/>
          <w:rFonts w:ascii="Arial" w:hAnsi="Arial" w:cs="Arial"/>
        </w:rPr>
        <w:t>good faith</w:t>
      </w:r>
      <w:r w:rsidRPr="00007910" w:rsidR="00761BAA">
        <w:rPr>
          <w:rStyle w:val="fontstyle01"/>
          <w:rFonts w:ascii="Arial" w:hAnsi="Arial" w:cs="Arial"/>
        </w:rPr>
        <w:t xml:space="preserve"> participation and </w:t>
      </w:r>
      <w:r w:rsidRPr="00007910" w:rsidR="00F6260E">
        <w:rPr>
          <w:rStyle w:val="fontstyle01"/>
          <w:rFonts w:ascii="Arial" w:hAnsi="Arial" w:cs="Arial"/>
        </w:rPr>
        <w:t xml:space="preserve">active engagement of the EDCs, along with the participation and </w:t>
      </w:r>
      <w:r w:rsidRPr="00007910" w:rsidR="00A67524">
        <w:rPr>
          <w:rStyle w:val="fontstyle01"/>
          <w:rFonts w:ascii="Arial" w:hAnsi="Arial" w:cs="Arial"/>
        </w:rPr>
        <w:t>consultation of DEEP, OCC, and other interested stakeholders</w:t>
      </w:r>
      <w:r w:rsidRPr="00007910">
        <w:rPr>
          <w:rStyle w:val="fontstyle01"/>
          <w:rFonts w:ascii="Arial" w:hAnsi="Arial" w:cs="Arial"/>
        </w:rPr>
        <w:t>.</w:t>
      </w:r>
    </w:p>
    <w:p w:rsidRPr="00007910" w:rsidR="00AA6A7F" w:rsidRDefault="00AA6A7F" w14:paraId="22B7FD78" w14:textId="4D95A173">
      <w:pPr>
        <w:rPr>
          <w:rFonts w:ascii="Arial" w:hAnsi="Arial" w:cs="Arial"/>
          <w:color w:val="000000"/>
          <w:sz w:val="24"/>
          <w:szCs w:val="24"/>
        </w:rPr>
      </w:pPr>
      <w:r w:rsidRPr="00007910">
        <w:rPr>
          <w:rFonts w:ascii="Arial" w:hAnsi="Arial" w:cs="Arial"/>
          <w:color w:val="000000"/>
          <w:sz w:val="24"/>
          <w:szCs w:val="24"/>
        </w:rPr>
        <w:br w:type="page"/>
      </w:r>
    </w:p>
    <w:p w:rsidRPr="00A75E2F" w:rsidR="00E86953" w:rsidP="00856A48" w:rsidRDefault="00E86953" w14:paraId="1EB7B49B" w14:textId="442B2655">
      <w:pPr>
        <w:jc w:val="center"/>
        <w:rPr>
          <w:rFonts w:ascii="Arial" w:hAnsi="Arial" w:cs="Arial"/>
          <w:b/>
          <w:sz w:val="24"/>
          <w:szCs w:val="24"/>
        </w:rPr>
      </w:pPr>
      <w:r w:rsidRPr="00A75E2F">
        <w:rPr>
          <w:rFonts w:ascii="Arial" w:hAnsi="Arial" w:cs="Arial"/>
          <w:b/>
          <w:sz w:val="24"/>
          <w:szCs w:val="24"/>
        </w:rPr>
        <w:lastRenderedPageBreak/>
        <w:t>Appendix A</w:t>
      </w:r>
    </w:p>
    <w:p w:rsidRPr="00007910" w:rsidR="00856040" w:rsidRDefault="00E86953" w14:paraId="08986438" w14:textId="77777777">
      <w:pPr>
        <w:jc w:val="center"/>
        <w:rPr>
          <w:rFonts w:ascii="Arial" w:hAnsi="Arial" w:cs="Arial"/>
          <w:sz w:val="24"/>
          <w:szCs w:val="24"/>
        </w:rPr>
      </w:pPr>
      <w:r w:rsidRPr="00007910">
        <w:rPr>
          <w:rFonts w:ascii="Arial" w:hAnsi="Arial" w:cs="Arial"/>
          <w:sz w:val="24"/>
          <w:szCs w:val="24"/>
        </w:rPr>
        <w:t>NWA solutions utilized in other jurisdictions</w:t>
      </w:r>
    </w:p>
    <w:p w:rsidRPr="00007910" w:rsidR="00C74DE8" w:rsidP="00A75E2F" w:rsidRDefault="00C74DE8" w14:paraId="7DF95CEB" w14:textId="555EA3A5">
      <w:pPr>
        <w:jc w:val="both"/>
        <w:rPr>
          <w:rStyle w:val="fontstyle01"/>
          <w:rFonts w:ascii="Arial" w:hAnsi="Arial" w:cs="Arial"/>
        </w:rPr>
      </w:pPr>
      <w:r w:rsidRPr="00007910">
        <w:rPr>
          <w:rStyle w:val="fontstyle01"/>
          <w:rFonts w:ascii="Arial" w:hAnsi="Arial" w:cs="Arial"/>
        </w:rPr>
        <w:t>This appendix provides a brief overview of the most frequently cited</w:t>
      </w:r>
      <w:r w:rsidRPr="00007910" w:rsidR="005179A7">
        <w:rPr>
          <w:rStyle w:val="fontstyle01"/>
          <w:rFonts w:ascii="Arial" w:hAnsi="Arial" w:cs="Arial"/>
        </w:rPr>
        <w:t xml:space="preserve"> non-wires alternative projects in the U.S. These projects include a mix of non-wires alternatives on the transmission </w:t>
      </w:r>
      <w:r w:rsidRPr="00007910" w:rsidR="00664AAD">
        <w:rPr>
          <w:rStyle w:val="fontstyle01"/>
          <w:rFonts w:ascii="Arial" w:hAnsi="Arial" w:cs="Arial"/>
        </w:rPr>
        <w:t xml:space="preserve">and distribution system. </w:t>
      </w:r>
      <w:r w:rsidRPr="00007910" w:rsidR="00AD20AA">
        <w:rPr>
          <w:rStyle w:val="fontstyle01"/>
          <w:rFonts w:ascii="Arial" w:hAnsi="Arial" w:cs="Arial"/>
        </w:rPr>
        <w:t xml:space="preserve">Many of the projects listed here are in the </w:t>
      </w:r>
      <w:r w:rsidRPr="00007910" w:rsidR="00303247">
        <w:rPr>
          <w:rStyle w:val="fontstyle01"/>
          <w:rFonts w:ascii="Arial" w:hAnsi="Arial" w:cs="Arial"/>
        </w:rPr>
        <w:t>Smart Electric Power Alliance report, which selected 10 NWA</w:t>
      </w:r>
      <w:r w:rsidRPr="00007910" w:rsidR="00AC0E2C">
        <w:rPr>
          <w:rStyle w:val="fontstyle01"/>
          <w:rFonts w:ascii="Arial" w:hAnsi="Arial" w:cs="Arial"/>
        </w:rPr>
        <w:t xml:space="preserve"> case studies based upon their applicability to other utilities, </w:t>
      </w:r>
      <w:r w:rsidRPr="00007910" w:rsidR="00F3435D">
        <w:rPr>
          <w:rStyle w:val="fontstyle01"/>
          <w:rFonts w:ascii="Arial" w:hAnsi="Arial" w:cs="Arial"/>
        </w:rPr>
        <w:t xml:space="preserve">whether the challenges and lessons learned had broad industry applicability, and </w:t>
      </w:r>
      <w:r w:rsidRPr="00007910" w:rsidR="00CA218F">
        <w:rPr>
          <w:rStyle w:val="fontstyle01"/>
          <w:rFonts w:ascii="Arial" w:hAnsi="Arial" w:cs="Arial"/>
        </w:rPr>
        <w:t xml:space="preserve">cross-sectional representation of geographic area, size and </w:t>
      </w:r>
      <w:r w:rsidRPr="00007910" w:rsidR="00DD5F47">
        <w:rPr>
          <w:rStyle w:val="fontstyle01"/>
          <w:rFonts w:ascii="Arial" w:hAnsi="Arial" w:cs="Arial"/>
        </w:rPr>
        <w:t xml:space="preserve">project type. </w:t>
      </w:r>
    </w:p>
    <w:p w:rsidRPr="00007910" w:rsidR="00055568" w:rsidP="00055568" w:rsidRDefault="00521244" w14:paraId="6BC2BB7D" w14:textId="744B0B31">
      <w:pPr>
        <w:rPr>
          <w:rStyle w:val="fontstyle01"/>
          <w:rFonts w:ascii="Arial" w:hAnsi="Arial" w:cs="Arial"/>
        </w:rPr>
      </w:pPr>
      <w:r w:rsidRPr="00007910">
        <w:rPr>
          <w:rStyle w:val="fontstyle01"/>
          <w:rFonts w:ascii="Arial" w:hAnsi="Arial" w:cs="Arial"/>
        </w:rPr>
        <w:t>E</w:t>
      </w:r>
      <w:r w:rsidRPr="00007910" w:rsidR="006225B0">
        <w:rPr>
          <w:rStyle w:val="fontstyle01"/>
          <w:rFonts w:ascii="Arial" w:hAnsi="Arial" w:cs="Arial"/>
        </w:rPr>
        <w:t xml:space="preserve">xamples </w:t>
      </w:r>
      <w:r w:rsidRPr="00007910">
        <w:rPr>
          <w:rStyle w:val="fontstyle01"/>
          <w:rFonts w:ascii="Arial" w:hAnsi="Arial" w:cs="Arial"/>
        </w:rPr>
        <w:t xml:space="preserve">of </w:t>
      </w:r>
      <w:r w:rsidRPr="00007910" w:rsidR="006225B0">
        <w:rPr>
          <w:rStyle w:val="fontstyle01"/>
          <w:rFonts w:ascii="Arial" w:hAnsi="Arial" w:cs="Arial"/>
        </w:rPr>
        <w:t xml:space="preserve">NWA solutions </w:t>
      </w:r>
      <w:r w:rsidRPr="00007910">
        <w:rPr>
          <w:rStyle w:val="fontstyle01"/>
          <w:rFonts w:ascii="Arial" w:hAnsi="Arial" w:cs="Arial"/>
        </w:rPr>
        <w:t xml:space="preserve">that </w:t>
      </w:r>
      <w:r w:rsidRPr="00007910" w:rsidR="00F969FF">
        <w:rPr>
          <w:rStyle w:val="fontstyle01"/>
          <w:rFonts w:ascii="Arial" w:hAnsi="Arial" w:cs="Arial"/>
        </w:rPr>
        <w:t xml:space="preserve">have </w:t>
      </w:r>
      <w:r w:rsidRPr="00007910">
        <w:rPr>
          <w:rStyle w:val="fontstyle01"/>
          <w:rFonts w:ascii="Arial" w:hAnsi="Arial" w:cs="Arial"/>
        </w:rPr>
        <w:t>proven</w:t>
      </w:r>
      <w:r w:rsidRPr="00007910" w:rsidR="006225B0">
        <w:rPr>
          <w:rStyle w:val="fontstyle01"/>
          <w:rFonts w:ascii="Arial" w:hAnsi="Arial" w:cs="Arial"/>
        </w:rPr>
        <w:t xml:space="preserve"> feasible and cost-effective: </w:t>
      </w:r>
    </w:p>
    <w:p w:rsidRPr="00007910" w:rsidR="008B41FE" w:rsidP="00856A48" w:rsidRDefault="008B41FE" w14:paraId="536F843E" w14:textId="61A1E73E">
      <w:pPr>
        <w:rPr>
          <w:rStyle w:val="fontstyle01"/>
          <w:rFonts w:ascii="Arial" w:hAnsi="Arial" w:cs="Arial"/>
        </w:rPr>
      </w:pPr>
    </w:p>
    <w:p w:rsidRPr="00007910" w:rsidR="00FA04A3" w:rsidP="008843E9" w:rsidRDefault="008B41FE" w14:paraId="7831155D" w14:textId="074D2B3C">
      <w:pPr>
        <w:pStyle w:val="ListParagraph"/>
        <w:numPr>
          <w:ilvl w:val="0"/>
          <w:numId w:val="9"/>
        </w:numPr>
        <w:rPr>
          <w:rStyle w:val="fontstyle01"/>
          <w:rFonts w:ascii="Arial" w:hAnsi="Arial" w:cs="Arial"/>
        </w:rPr>
      </w:pPr>
      <w:r w:rsidRPr="00007910">
        <w:rPr>
          <w:rStyle w:val="fontstyle01"/>
          <w:rFonts w:ascii="Arial" w:hAnsi="Arial" w:cs="Arial"/>
        </w:rPr>
        <w:t>The Consolidated Edison Brooklyn-Queens Demand Management project</w:t>
      </w:r>
      <w:r w:rsidRPr="00007910" w:rsidR="008D77CD">
        <w:rPr>
          <w:rStyle w:val="fontstyle01"/>
          <w:rFonts w:ascii="Arial" w:hAnsi="Arial" w:cs="Arial"/>
        </w:rPr>
        <w:t>, started in operation in 2016,</w:t>
      </w:r>
      <w:r w:rsidRPr="00007910">
        <w:rPr>
          <w:rStyle w:val="fontstyle01"/>
          <w:rFonts w:ascii="Arial" w:hAnsi="Arial" w:cs="Arial"/>
        </w:rPr>
        <w:t xml:space="preserve"> definitively put to rest any debate over whether NWA solutions are feasible. The Brooklyn-Queens project also put to rest any debate over whether NWAs can save ratepayers substantial amounts. In that New York case, ConEd working with the New York DPS pursuant to NY DPS orders solicited multiple procurements of DERs to reduce and shift load sufficiently to avoid investment of over $1 billion in a new substation. </w:t>
      </w:r>
      <w:r w:rsidRPr="00007910" w:rsidR="001356CB">
        <w:rPr>
          <w:rFonts w:ascii="Arial" w:hAnsi="Arial" w:cs="Arial"/>
          <w:color w:val="000000"/>
          <w:sz w:val="24"/>
          <w:szCs w:val="24"/>
        </w:rPr>
        <w:t>The BQDM project is one of the largest NWA projects in the U.S, with close to 52 MW of traditional</w:t>
      </w:r>
      <w:r w:rsidRPr="00007910" w:rsidR="00CC73C6">
        <w:rPr>
          <w:rFonts w:ascii="Arial" w:hAnsi="Arial" w:cs="Arial"/>
          <w:color w:val="000000"/>
          <w:sz w:val="24"/>
          <w:szCs w:val="24"/>
        </w:rPr>
        <w:t xml:space="preserve"> customer-side options (41MW)</w:t>
      </w:r>
      <w:r w:rsidRPr="00007910" w:rsidR="001356CB">
        <w:rPr>
          <w:rFonts w:ascii="Arial" w:hAnsi="Arial" w:cs="Arial"/>
          <w:color w:val="000000"/>
          <w:sz w:val="24"/>
          <w:szCs w:val="24"/>
        </w:rPr>
        <w:t xml:space="preserve"> and non-traditional </w:t>
      </w:r>
      <w:r w:rsidRPr="00007910" w:rsidR="00CC73C6">
        <w:rPr>
          <w:rFonts w:ascii="Arial" w:hAnsi="Arial" w:cs="Arial"/>
          <w:color w:val="000000"/>
          <w:sz w:val="24"/>
          <w:szCs w:val="24"/>
        </w:rPr>
        <w:t>utility</w:t>
      </w:r>
      <w:r w:rsidRPr="00007910" w:rsidR="002168AD">
        <w:rPr>
          <w:rFonts w:ascii="Arial" w:hAnsi="Arial" w:cs="Arial"/>
          <w:color w:val="000000"/>
          <w:sz w:val="24"/>
          <w:szCs w:val="24"/>
        </w:rPr>
        <w:t xml:space="preserve">-side (11MW) </w:t>
      </w:r>
      <w:r w:rsidRPr="00007910" w:rsidR="001356CB">
        <w:rPr>
          <w:rFonts w:ascii="Arial" w:hAnsi="Arial" w:cs="Arial"/>
          <w:color w:val="000000"/>
          <w:sz w:val="24"/>
          <w:szCs w:val="24"/>
        </w:rPr>
        <w:t>resources</w:t>
      </w:r>
      <w:r w:rsidRPr="00007910" w:rsidR="008843E9">
        <w:rPr>
          <w:rFonts w:ascii="Arial" w:hAnsi="Arial" w:cs="Arial"/>
          <w:color w:val="000000"/>
          <w:sz w:val="24"/>
          <w:szCs w:val="24"/>
        </w:rPr>
        <w:t>, including fuel cells; combined heat and power (CHP); energy efficiency (EE) projects with the city and state; battery storage; solar photovoltaic (PV) systems; and conservation voltage optimization (CVO).</w:t>
      </w:r>
      <w:r w:rsidRPr="00007910" w:rsidR="007543F4">
        <w:rPr>
          <w:rFonts w:ascii="Arial" w:hAnsi="Arial" w:cs="Arial"/>
          <w:color w:val="000000"/>
          <w:sz w:val="24"/>
          <w:szCs w:val="24"/>
        </w:rPr>
        <w:t xml:space="preserve"> </w:t>
      </w:r>
      <w:r w:rsidRPr="00007910" w:rsidR="00E73D06">
        <w:rPr>
          <w:rFonts w:ascii="Arial" w:hAnsi="Arial" w:cs="Arial"/>
          <w:color w:val="000000"/>
          <w:sz w:val="24"/>
          <w:szCs w:val="24"/>
        </w:rPr>
        <w:t xml:space="preserve">BDQM met the original program </w:t>
      </w:r>
      <w:proofErr w:type="gramStart"/>
      <w:r w:rsidRPr="00007910" w:rsidR="00E73D06">
        <w:rPr>
          <w:rFonts w:ascii="Arial" w:hAnsi="Arial" w:cs="Arial"/>
          <w:color w:val="000000"/>
          <w:sz w:val="24"/>
          <w:szCs w:val="24"/>
        </w:rPr>
        <w:t>objectives, and</w:t>
      </w:r>
      <w:proofErr w:type="gramEnd"/>
      <w:r w:rsidRPr="00007910" w:rsidR="00E73D06">
        <w:rPr>
          <w:rFonts w:ascii="Arial" w:hAnsi="Arial" w:cs="Arial"/>
          <w:color w:val="000000"/>
          <w:sz w:val="24"/>
          <w:szCs w:val="24"/>
        </w:rPr>
        <w:t xml:space="preserve"> has since been extended to meet additional load reduction needs. </w:t>
      </w:r>
      <w:r w:rsidRPr="00007910" w:rsidR="001B40FE">
        <w:rPr>
          <w:rFonts w:ascii="Arial" w:hAnsi="Arial" w:cs="Arial"/>
          <w:color w:val="000000"/>
          <w:sz w:val="24"/>
          <w:szCs w:val="24"/>
        </w:rPr>
        <w:t>Savings from the measures deployed in the NAW delayed the buildout of a new substation</w:t>
      </w:r>
      <w:r w:rsidRPr="00007910" w:rsidR="000656F9">
        <w:rPr>
          <w:rFonts w:ascii="Arial" w:hAnsi="Arial" w:cs="Arial"/>
          <w:color w:val="000000"/>
          <w:sz w:val="24"/>
          <w:szCs w:val="24"/>
        </w:rPr>
        <w:t>, leading ConEd to further delay the buildout, and potentially permanently defer the new substation.</w:t>
      </w:r>
      <w:r w:rsidRPr="00007910" w:rsidR="005E386F">
        <w:rPr>
          <w:rStyle w:val="FootnoteReference"/>
          <w:rFonts w:cs="Arial"/>
          <w:color w:val="000000"/>
        </w:rPr>
        <w:footnoteReference w:id="23"/>
      </w:r>
      <w:r w:rsidRPr="00007910" w:rsidR="00521244">
        <w:rPr>
          <w:rFonts w:ascii="Arial" w:hAnsi="Arial" w:cs="Arial"/>
          <w:color w:val="000000"/>
          <w:sz w:val="24"/>
          <w:szCs w:val="24"/>
        </w:rPr>
        <w:br/>
      </w:r>
    </w:p>
    <w:p w:rsidRPr="00007910" w:rsidR="008B41FE" w:rsidP="0040174F" w:rsidRDefault="008B41FE" w14:paraId="0E0D7EA2" w14:textId="6CE31674">
      <w:pPr>
        <w:pStyle w:val="ListParagraph"/>
        <w:numPr>
          <w:ilvl w:val="0"/>
          <w:numId w:val="9"/>
        </w:numPr>
        <w:rPr>
          <w:rStyle w:val="fontstyle01"/>
          <w:rFonts w:ascii="Arial" w:hAnsi="Arial" w:cs="Arial"/>
        </w:rPr>
      </w:pPr>
      <w:r w:rsidRPr="00007910">
        <w:rPr>
          <w:rStyle w:val="fontstyle01"/>
          <w:rFonts w:ascii="Arial" w:hAnsi="Arial" w:cs="Arial"/>
        </w:rPr>
        <w:t>The non-wires alternative project on Maine’s Boothbay peninsula avoided the need for a new 115 kV transmission line with suite of much less expensive DERs</w:t>
      </w:r>
      <w:r w:rsidRPr="00007910" w:rsidR="00404DDF">
        <w:rPr>
          <w:rStyle w:val="fontstyle01"/>
          <w:rFonts w:ascii="Arial" w:hAnsi="Arial" w:cs="Arial"/>
        </w:rPr>
        <w:t xml:space="preserve"> between 2013 and 2017</w:t>
      </w:r>
      <w:r w:rsidRPr="00007910">
        <w:rPr>
          <w:rStyle w:val="fontstyle01"/>
          <w:rFonts w:ascii="Arial" w:hAnsi="Arial" w:cs="Arial"/>
        </w:rPr>
        <w:t xml:space="preserve">. </w:t>
      </w:r>
      <w:r w:rsidRPr="00007910" w:rsidR="00FA04A3">
        <w:rPr>
          <w:rFonts w:ascii="Arial" w:hAnsi="Arial" w:cs="Arial"/>
          <w:color w:val="000000"/>
          <w:sz w:val="24"/>
          <w:szCs w:val="24"/>
        </w:rPr>
        <w:t>DERs included</w:t>
      </w:r>
      <w:r w:rsidRPr="00007910" w:rsidR="00E432A2">
        <w:rPr>
          <w:rFonts w:ascii="Arial" w:hAnsi="Arial" w:cs="Arial"/>
          <w:color w:val="000000"/>
          <w:sz w:val="24"/>
          <w:szCs w:val="24"/>
        </w:rPr>
        <w:t xml:space="preserve"> energy efficient commercial lighting, energy storage, and rooftop solar PV systems, which helped to mitigate the impacts of seasonal businesses.</w:t>
      </w:r>
      <w:r w:rsidRPr="00007910" w:rsidR="00FA04A3">
        <w:rPr>
          <w:rFonts w:ascii="Arial" w:hAnsi="Arial" w:cs="Arial"/>
          <w:color w:val="000000"/>
          <w:sz w:val="24"/>
          <w:szCs w:val="24"/>
        </w:rPr>
        <w:t xml:space="preserve"> In total, 1.8 kW of non-transmission alternatives were deployed between late 2013 and early 2015, and included the first large-scale, 500 kW, battery storage unit in Maine, a 500 kW diesel fueled back-up generator, 243 kW of efficient lighting and air conditioning, 308 kW of solar PV, </w:t>
      </w:r>
      <w:r w:rsidRPr="00007910" w:rsidR="00FA04A3">
        <w:rPr>
          <w:rFonts w:ascii="Arial" w:hAnsi="Arial" w:cs="Arial"/>
          <w:color w:val="000000"/>
          <w:sz w:val="24"/>
          <w:szCs w:val="24"/>
        </w:rPr>
        <w:lastRenderedPageBreak/>
        <w:t>224 kW of peak load shifting, and 29 kW of demand response units.</w:t>
      </w:r>
      <w:r w:rsidRPr="00007910" w:rsidR="006C7E5C">
        <w:rPr>
          <w:rStyle w:val="FootnoteReference"/>
          <w:rFonts w:cs="Arial"/>
          <w:color w:val="000000"/>
          <w:szCs w:val="24"/>
        </w:rPr>
        <w:footnoteReference w:id="24"/>
      </w:r>
      <w:r w:rsidRPr="00007910" w:rsidR="0040174F">
        <w:rPr>
          <w:rFonts w:ascii="Arial" w:hAnsi="Arial" w:cs="Arial"/>
          <w:color w:val="000000"/>
          <w:sz w:val="24"/>
          <w:szCs w:val="24"/>
        </w:rPr>
        <w:t xml:space="preserve"> </w:t>
      </w:r>
      <w:r w:rsidRPr="00007910">
        <w:rPr>
          <w:rStyle w:val="fontstyle01"/>
          <w:rFonts w:ascii="Arial" w:hAnsi="Arial" w:cs="Arial"/>
        </w:rPr>
        <w:t>The 115 kV transmission line was subsequently cancelled.</w:t>
      </w:r>
      <w:r w:rsidRPr="00007910" w:rsidR="00521244">
        <w:rPr>
          <w:rStyle w:val="fontstyle01"/>
          <w:rFonts w:ascii="Arial" w:hAnsi="Arial" w:cs="Arial"/>
        </w:rPr>
        <w:br/>
      </w:r>
    </w:p>
    <w:p w:rsidRPr="00007910" w:rsidR="00192957" w:rsidP="00D1157E" w:rsidRDefault="008B41FE" w14:paraId="58BC9162" w14:textId="65CEED8A">
      <w:pPr>
        <w:pStyle w:val="ListParagraph"/>
        <w:numPr>
          <w:ilvl w:val="0"/>
          <w:numId w:val="9"/>
        </w:numPr>
        <w:rPr>
          <w:rFonts w:ascii="Arial" w:hAnsi="Arial" w:cs="Arial"/>
          <w:color w:val="000000"/>
          <w:sz w:val="24"/>
          <w:szCs w:val="24"/>
        </w:rPr>
      </w:pPr>
      <w:r w:rsidRPr="00007910">
        <w:rPr>
          <w:rStyle w:val="fontstyle01"/>
          <w:rFonts w:ascii="Arial" w:hAnsi="Arial" w:cs="Arial"/>
        </w:rPr>
        <w:t>Eversource utilities briefed the re07 workgroup on its non-wires alternative project on the Cape in its Massachusetts service territory that likewise is avoiding the need for a new transmission line in an area where siting would pose difficulties</w:t>
      </w:r>
      <w:r w:rsidRPr="00007910" w:rsidR="00192957">
        <w:rPr>
          <w:rStyle w:val="fontstyle01"/>
          <w:rFonts w:ascii="Arial" w:hAnsi="Arial" w:cs="Arial"/>
        </w:rPr>
        <w:t>.</w:t>
      </w:r>
      <w:r w:rsidRPr="00007910" w:rsidR="00521244">
        <w:rPr>
          <w:rStyle w:val="fontstyle01"/>
          <w:rFonts w:ascii="Arial" w:hAnsi="Arial" w:cs="Arial"/>
        </w:rPr>
        <w:br/>
      </w:r>
    </w:p>
    <w:p w:rsidRPr="00007910" w:rsidR="00E86953" w:rsidP="00E86953" w:rsidRDefault="618C602A" w14:paraId="736EE9CA" w14:textId="5F000552">
      <w:pPr>
        <w:pStyle w:val="ListParagraph"/>
        <w:numPr>
          <w:ilvl w:val="0"/>
          <w:numId w:val="23"/>
        </w:numPr>
        <w:spacing w:after="0" w:line="240" w:lineRule="auto"/>
        <w:rPr>
          <w:rFonts w:ascii="Arial" w:hAnsi="Arial" w:cs="Arial"/>
          <w:sz w:val="24"/>
          <w:szCs w:val="24"/>
        </w:rPr>
      </w:pPr>
      <w:r w:rsidRPr="00007910">
        <w:rPr>
          <w:rFonts w:ascii="Arial" w:hAnsi="Arial" w:cs="Arial"/>
          <w:sz w:val="24"/>
          <w:szCs w:val="24"/>
        </w:rPr>
        <w:t>Arizona Public Services 2 MW, 8 MWh Battery Electric Storage System in Punkin Center Arizona designed for 21 kV feeder-level peak shaving.</w:t>
      </w:r>
      <w:r w:rsidRPr="00007910" w:rsidR="00E86953">
        <w:rPr>
          <w:rStyle w:val="FootnoteReference"/>
          <w:rFonts w:cs="Arial"/>
          <w:szCs w:val="16"/>
        </w:rPr>
        <w:footnoteReference w:id="25"/>
      </w:r>
      <w:r w:rsidRPr="00007910">
        <w:rPr>
          <w:rFonts w:ascii="Arial" w:hAnsi="Arial" w:cs="Arial"/>
          <w:sz w:val="24"/>
          <w:szCs w:val="24"/>
        </w:rPr>
        <w:t xml:space="preserve"> </w:t>
      </w:r>
      <w:r w:rsidRPr="00007910" w:rsidR="00F329F6">
        <w:rPr>
          <w:rFonts w:ascii="Arial" w:hAnsi="Arial" w:cs="Arial"/>
          <w:sz w:val="24"/>
          <w:szCs w:val="24"/>
        </w:rPr>
        <w:t xml:space="preserve"> The project started in 2018 and has successfully provided feeder peak shaving</w:t>
      </w:r>
      <w:r w:rsidRPr="00007910" w:rsidR="00997A9D">
        <w:rPr>
          <w:rFonts w:ascii="Arial" w:hAnsi="Arial" w:cs="Arial"/>
          <w:sz w:val="24"/>
          <w:szCs w:val="24"/>
        </w:rPr>
        <w:t xml:space="preserve"> with high reliability. </w:t>
      </w:r>
      <w:r w:rsidRPr="00007910">
        <w:rPr>
          <w:rFonts w:ascii="Arial" w:hAnsi="Arial" w:cs="Arial"/>
          <w:sz w:val="24"/>
          <w:szCs w:val="24"/>
        </w:rPr>
        <w:t>The project has the potential to provide a long-term deferment of wires investment and generation. The BESS was considered the least-cost solution rather than rebuilding 17 miles of power lines over rough terrain.</w:t>
      </w:r>
      <w:r w:rsidRPr="00007910" w:rsidR="00E86953">
        <w:rPr>
          <w:rStyle w:val="FootnoteReference"/>
          <w:rFonts w:cs="Arial"/>
          <w:szCs w:val="16"/>
        </w:rPr>
        <w:footnoteReference w:id="26"/>
      </w:r>
      <w:r w:rsidRPr="00007910">
        <w:rPr>
          <w:rFonts w:ascii="Arial" w:hAnsi="Arial" w:cs="Arial"/>
          <w:sz w:val="16"/>
          <w:szCs w:val="16"/>
        </w:rPr>
        <w:t xml:space="preserve"> </w:t>
      </w:r>
      <w:r w:rsidRPr="00007910" w:rsidR="00521244">
        <w:rPr>
          <w:rFonts w:ascii="Arial" w:hAnsi="Arial" w:cs="Arial"/>
          <w:sz w:val="24"/>
          <w:szCs w:val="24"/>
        </w:rPr>
        <w:br/>
      </w:r>
    </w:p>
    <w:p w:rsidRPr="00007910" w:rsidR="00E86953" w:rsidP="00E86953" w:rsidRDefault="618C602A" w14:paraId="010BEE69" w14:textId="71C859BE">
      <w:pPr>
        <w:pStyle w:val="ListParagraph"/>
        <w:numPr>
          <w:ilvl w:val="0"/>
          <w:numId w:val="23"/>
        </w:numPr>
        <w:spacing w:after="0" w:line="240" w:lineRule="auto"/>
        <w:rPr>
          <w:rFonts w:ascii="Arial" w:hAnsi="Arial" w:cs="Arial"/>
          <w:sz w:val="24"/>
          <w:szCs w:val="24"/>
        </w:rPr>
      </w:pPr>
      <w:r w:rsidRPr="00007910">
        <w:rPr>
          <w:rFonts w:ascii="Arial" w:hAnsi="Arial" w:cs="Arial"/>
          <w:sz w:val="24"/>
          <w:szCs w:val="24"/>
        </w:rPr>
        <w:t>Southern California Edison’s 2.4 MW, 3.9 MWh Battery Electric Storage System in Orange California</w:t>
      </w:r>
      <w:r w:rsidRPr="00007910" w:rsidR="0010741C">
        <w:rPr>
          <w:rFonts w:ascii="Arial" w:hAnsi="Arial" w:cs="Arial"/>
          <w:sz w:val="24"/>
          <w:szCs w:val="24"/>
        </w:rPr>
        <w:t>, which has been active since 2015,</w:t>
      </w:r>
      <w:r w:rsidRPr="00007910">
        <w:rPr>
          <w:rFonts w:ascii="Arial" w:hAnsi="Arial" w:cs="Arial"/>
          <w:sz w:val="24"/>
          <w:szCs w:val="24"/>
        </w:rPr>
        <w:t xml:space="preserve"> deferred a distribution system upgrade, and mitigated a substation transformer overload</w:t>
      </w:r>
      <w:r w:rsidRPr="00007910" w:rsidR="002161F8">
        <w:rPr>
          <w:rFonts w:ascii="Arial" w:hAnsi="Arial" w:cs="Arial"/>
          <w:sz w:val="24"/>
          <w:szCs w:val="24"/>
        </w:rPr>
        <w:t>, thus meeting the original objectives of the project</w:t>
      </w:r>
      <w:r w:rsidRPr="00007910" w:rsidR="00E90FED">
        <w:rPr>
          <w:rFonts w:ascii="Arial" w:hAnsi="Arial" w:cs="Arial"/>
          <w:sz w:val="24"/>
          <w:szCs w:val="24"/>
        </w:rPr>
        <w:t xml:space="preserve">. The BESS is also capable of other control odes, including reactive power dispatch for </w:t>
      </w:r>
      <w:r w:rsidRPr="00007910" w:rsidR="009D0104">
        <w:rPr>
          <w:rFonts w:ascii="Arial" w:hAnsi="Arial" w:cs="Arial"/>
          <w:sz w:val="24"/>
          <w:szCs w:val="24"/>
        </w:rPr>
        <w:t>voltage</w:t>
      </w:r>
      <w:r w:rsidRPr="00007910" w:rsidR="00E90FED">
        <w:rPr>
          <w:rFonts w:ascii="Arial" w:hAnsi="Arial" w:cs="Arial"/>
          <w:sz w:val="24"/>
          <w:szCs w:val="24"/>
        </w:rPr>
        <w:t xml:space="preserve"> </w:t>
      </w:r>
      <w:r w:rsidRPr="00007910" w:rsidR="009D0104">
        <w:rPr>
          <w:rFonts w:ascii="Arial" w:hAnsi="Arial" w:cs="Arial"/>
          <w:sz w:val="24"/>
          <w:szCs w:val="24"/>
        </w:rPr>
        <w:t>regulation</w:t>
      </w:r>
      <w:r w:rsidRPr="00007910">
        <w:rPr>
          <w:rFonts w:ascii="Arial" w:hAnsi="Arial" w:cs="Arial"/>
          <w:sz w:val="24"/>
          <w:szCs w:val="24"/>
        </w:rPr>
        <w:t>.</w:t>
      </w:r>
      <w:r w:rsidRPr="00007910" w:rsidR="00E86953">
        <w:rPr>
          <w:rStyle w:val="FootnoteReference"/>
          <w:rFonts w:cs="Arial"/>
          <w:szCs w:val="16"/>
        </w:rPr>
        <w:footnoteReference w:id="27"/>
      </w:r>
      <w:r w:rsidRPr="00007910">
        <w:rPr>
          <w:rFonts w:ascii="Arial" w:hAnsi="Arial" w:cs="Arial"/>
          <w:sz w:val="16"/>
          <w:szCs w:val="16"/>
        </w:rPr>
        <w:t xml:space="preserve"> </w:t>
      </w:r>
      <w:r w:rsidRPr="00007910" w:rsidR="00521244">
        <w:rPr>
          <w:rFonts w:ascii="Arial" w:hAnsi="Arial" w:cs="Arial"/>
          <w:sz w:val="24"/>
          <w:szCs w:val="24"/>
        </w:rPr>
        <w:br/>
      </w:r>
    </w:p>
    <w:p w:rsidRPr="00007910" w:rsidR="0058145F" w:rsidP="00E86953" w:rsidRDefault="618C602A" w14:paraId="53726D2E" w14:textId="2CD17FB6">
      <w:pPr>
        <w:pStyle w:val="ListParagraph"/>
        <w:numPr>
          <w:ilvl w:val="0"/>
          <w:numId w:val="23"/>
        </w:numPr>
        <w:spacing w:after="0" w:line="240" w:lineRule="auto"/>
        <w:rPr>
          <w:rFonts w:ascii="Arial" w:hAnsi="Arial" w:cs="Arial"/>
          <w:sz w:val="24"/>
          <w:szCs w:val="24"/>
        </w:rPr>
      </w:pPr>
      <w:r w:rsidRPr="00007910">
        <w:rPr>
          <w:rFonts w:ascii="Arial" w:hAnsi="Arial" w:cs="Arial"/>
          <w:sz w:val="24"/>
          <w:szCs w:val="24"/>
        </w:rPr>
        <w:t>National Grid created a NWA pilot Tiverton and Little Compton Rhode Island in 2012, using geographically-targeted energy efficiency and demand response.</w:t>
      </w:r>
      <w:r w:rsidRPr="00007910" w:rsidR="00E86953">
        <w:rPr>
          <w:rStyle w:val="FootnoteReference"/>
          <w:rFonts w:cs="Arial"/>
          <w:szCs w:val="16"/>
        </w:rPr>
        <w:footnoteReference w:id="28"/>
      </w:r>
      <w:r w:rsidRPr="00007910">
        <w:rPr>
          <w:rFonts w:ascii="Arial" w:hAnsi="Arial" w:cs="Arial"/>
          <w:sz w:val="24"/>
          <w:szCs w:val="24"/>
        </w:rPr>
        <w:t xml:space="preserve"> The goal was a 1 MW load-offset goal, which was not reached, but it did successfully defer a $2.9 million feeder project.</w:t>
      </w:r>
      <w:r w:rsidRPr="00007910" w:rsidR="00E86953">
        <w:rPr>
          <w:rStyle w:val="FootnoteReference"/>
          <w:rFonts w:cs="Arial"/>
          <w:szCs w:val="16"/>
        </w:rPr>
        <w:footnoteReference w:id="29"/>
      </w:r>
      <w:r w:rsidRPr="00007910">
        <w:rPr>
          <w:rFonts w:ascii="Arial" w:hAnsi="Arial" w:cs="Arial"/>
          <w:sz w:val="16"/>
          <w:szCs w:val="16"/>
        </w:rPr>
        <w:t xml:space="preserve"> </w:t>
      </w:r>
    </w:p>
    <w:p w:rsidRPr="00007910" w:rsidR="00DB0BFF" w:rsidP="00856A48" w:rsidRDefault="00DB0BFF" w14:paraId="7C1D21AF" w14:textId="77777777">
      <w:pPr>
        <w:pStyle w:val="ListParagraph"/>
        <w:spacing w:after="0" w:line="240" w:lineRule="auto"/>
        <w:rPr>
          <w:rFonts w:ascii="Arial" w:hAnsi="Arial" w:cs="Arial"/>
          <w:sz w:val="24"/>
          <w:szCs w:val="24"/>
        </w:rPr>
      </w:pPr>
    </w:p>
    <w:p w:rsidRPr="00007910" w:rsidR="00E86953" w:rsidP="00E86953" w:rsidRDefault="0058145F" w14:paraId="41C5E7B8" w14:textId="7235454A">
      <w:pPr>
        <w:pStyle w:val="ListParagraph"/>
        <w:numPr>
          <w:ilvl w:val="0"/>
          <w:numId w:val="23"/>
        </w:numPr>
        <w:spacing w:after="0" w:line="240" w:lineRule="auto"/>
        <w:rPr>
          <w:rFonts w:ascii="Arial" w:hAnsi="Arial" w:cs="Arial"/>
          <w:sz w:val="24"/>
          <w:szCs w:val="24"/>
        </w:rPr>
      </w:pPr>
      <w:r w:rsidRPr="00007910">
        <w:rPr>
          <w:rFonts w:ascii="Arial" w:hAnsi="Arial" w:cs="Arial"/>
          <w:sz w:val="24"/>
          <w:szCs w:val="24"/>
        </w:rPr>
        <w:t>Consumers Energy in Michigan</w:t>
      </w:r>
      <w:r w:rsidRPr="00007910" w:rsidR="003A6AA7">
        <w:rPr>
          <w:rFonts w:ascii="Arial" w:hAnsi="Arial" w:cs="Arial"/>
          <w:sz w:val="24"/>
          <w:szCs w:val="24"/>
        </w:rPr>
        <w:t xml:space="preserve"> </w:t>
      </w:r>
      <w:r w:rsidRPr="00007910" w:rsidR="00CF0A23">
        <w:rPr>
          <w:rFonts w:ascii="Arial" w:hAnsi="Arial" w:cs="Arial"/>
          <w:sz w:val="24"/>
          <w:szCs w:val="24"/>
        </w:rPr>
        <w:t>created the Schwartz Creek Energy Savers Club</w:t>
      </w:r>
      <w:r w:rsidRPr="00007910" w:rsidR="00E327F8">
        <w:rPr>
          <w:rFonts w:ascii="Arial" w:hAnsi="Arial" w:cs="Arial"/>
          <w:sz w:val="24"/>
          <w:szCs w:val="24"/>
        </w:rPr>
        <w:t xml:space="preserve"> to address a distribution grid constraint</w:t>
      </w:r>
      <w:r w:rsidRPr="00007910" w:rsidR="00183134">
        <w:rPr>
          <w:rFonts w:ascii="Arial" w:hAnsi="Arial" w:cs="Arial"/>
          <w:sz w:val="24"/>
          <w:szCs w:val="24"/>
        </w:rPr>
        <w:t xml:space="preserve"> utilizing energy efficiency and demand response. </w:t>
      </w:r>
      <w:r w:rsidRPr="00007910" w:rsidR="007956B9">
        <w:rPr>
          <w:rFonts w:ascii="Arial" w:hAnsi="Arial" w:cs="Arial"/>
          <w:sz w:val="24"/>
          <w:szCs w:val="24"/>
        </w:rPr>
        <w:t xml:space="preserve">The goal was to reduce load requirements below 80% </w:t>
      </w:r>
      <w:r w:rsidRPr="00007910" w:rsidR="002F3925">
        <w:rPr>
          <w:rFonts w:ascii="Arial" w:hAnsi="Arial" w:cs="Arial"/>
          <w:sz w:val="24"/>
          <w:szCs w:val="24"/>
        </w:rPr>
        <w:t>maximum</w:t>
      </w:r>
      <w:r w:rsidRPr="00007910" w:rsidR="007956B9">
        <w:rPr>
          <w:rFonts w:ascii="Arial" w:hAnsi="Arial" w:cs="Arial"/>
          <w:sz w:val="24"/>
          <w:szCs w:val="24"/>
        </w:rPr>
        <w:t xml:space="preserve"> summer capacity </w:t>
      </w:r>
      <w:proofErr w:type="gramStart"/>
      <w:r w:rsidRPr="00007910" w:rsidR="007956B9">
        <w:rPr>
          <w:rFonts w:ascii="Arial" w:hAnsi="Arial" w:cs="Arial"/>
          <w:sz w:val="24"/>
          <w:szCs w:val="24"/>
        </w:rPr>
        <w:t>in order to</w:t>
      </w:r>
      <w:proofErr w:type="gramEnd"/>
      <w:r w:rsidRPr="00007910" w:rsidR="007956B9">
        <w:rPr>
          <w:rFonts w:ascii="Arial" w:hAnsi="Arial" w:cs="Arial"/>
          <w:sz w:val="24"/>
          <w:szCs w:val="24"/>
        </w:rPr>
        <w:t xml:space="preserve"> defer a $1.1 million upgrade of infrastructure. </w:t>
      </w:r>
      <w:r w:rsidRPr="00007910" w:rsidR="0068330D">
        <w:rPr>
          <w:rFonts w:ascii="Arial" w:hAnsi="Arial" w:cs="Arial"/>
          <w:sz w:val="24"/>
          <w:szCs w:val="24"/>
        </w:rPr>
        <w:t xml:space="preserve">The project needed to reduce load by 1.4 MW by the end of 2018, or 1.6 MW by the end of 2019. The program </w:t>
      </w:r>
      <w:r w:rsidRPr="00007910" w:rsidR="00EF0EF0">
        <w:rPr>
          <w:rFonts w:ascii="Arial" w:hAnsi="Arial" w:cs="Arial"/>
          <w:sz w:val="24"/>
          <w:szCs w:val="24"/>
        </w:rPr>
        <w:t>met almost the entire 2018 savings target of 1.4 MW</w:t>
      </w:r>
      <w:r w:rsidRPr="00007910" w:rsidR="00D750F2">
        <w:rPr>
          <w:rFonts w:ascii="Arial" w:hAnsi="Arial" w:cs="Arial"/>
          <w:sz w:val="24"/>
          <w:szCs w:val="24"/>
        </w:rPr>
        <w:t xml:space="preserve">. </w:t>
      </w:r>
      <w:r w:rsidRPr="00007910" w:rsidR="00DC5AC4">
        <w:rPr>
          <w:rFonts w:ascii="Arial" w:hAnsi="Arial" w:cs="Arial"/>
          <w:sz w:val="24"/>
          <w:szCs w:val="24"/>
        </w:rPr>
        <w:t>Ultimately</w:t>
      </w:r>
      <w:r w:rsidRPr="00007910" w:rsidR="00D750F2">
        <w:rPr>
          <w:rFonts w:ascii="Arial" w:hAnsi="Arial" w:cs="Arial"/>
          <w:sz w:val="24"/>
          <w:szCs w:val="24"/>
        </w:rPr>
        <w:t xml:space="preserve"> anticipated load growth</w:t>
      </w:r>
      <w:r w:rsidRPr="00007910" w:rsidR="00DC5AC4">
        <w:rPr>
          <w:rFonts w:ascii="Arial" w:hAnsi="Arial" w:cs="Arial"/>
          <w:sz w:val="24"/>
          <w:szCs w:val="24"/>
        </w:rPr>
        <w:t xml:space="preserve"> at the target substation</w:t>
      </w:r>
      <w:r w:rsidRPr="00007910" w:rsidR="00D750F2">
        <w:rPr>
          <w:rFonts w:ascii="Arial" w:hAnsi="Arial" w:cs="Arial"/>
          <w:sz w:val="24"/>
          <w:szCs w:val="24"/>
        </w:rPr>
        <w:t xml:space="preserve"> did not materialize, so </w:t>
      </w:r>
      <w:r w:rsidRPr="00007910" w:rsidR="00DC5AC4">
        <w:rPr>
          <w:rFonts w:ascii="Arial" w:hAnsi="Arial" w:cs="Arial"/>
          <w:sz w:val="24"/>
          <w:szCs w:val="24"/>
        </w:rPr>
        <w:lastRenderedPageBreak/>
        <w:t>no upgrades were needed.</w:t>
      </w:r>
      <w:r w:rsidRPr="00007910" w:rsidR="00DC5AC4">
        <w:rPr>
          <w:rStyle w:val="FootnoteReference"/>
          <w:rFonts w:cs="Arial"/>
        </w:rPr>
        <w:footnoteReference w:id="30"/>
      </w:r>
      <w:r w:rsidRPr="00007910" w:rsidR="00521244">
        <w:rPr>
          <w:rFonts w:ascii="Arial" w:hAnsi="Arial" w:cs="Arial"/>
          <w:sz w:val="24"/>
          <w:szCs w:val="24"/>
        </w:rPr>
        <w:br/>
      </w:r>
    </w:p>
    <w:p w:rsidRPr="00007910" w:rsidR="00E86953" w:rsidP="00E86953" w:rsidRDefault="618C602A" w14:paraId="605752D0" w14:textId="6FB9BE1F">
      <w:pPr>
        <w:pStyle w:val="ListParagraph"/>
        <w:numPr>
          <w:ilvl w:val="0"/>
          <w:numId w:val="23"/>
        </w:numPr>
        <w:spacing w:after="0" w:line="240" w:lineRule="auto"/>
        <w:rPr>
          <w:rFonts w:ascii="Arial" w:hAnsi="Arial" w:cs="Arial"/>
          <w:sz w:val="24"/>
          <w:szCs w:val="24"/>
        </w:rPr>
      </w:pPr>
      <w:r w:rsidRPr="00007910">
        <w:rPr>
          <w:rFonts w:ascii="Arial" w:hAnsi="Arial" w:cs="Arial"/>
          <w:sz w:val="24"/>
          <w:szCs w:val="24"/>
        </w:rPr>
        <w:t>Central Hudson in NY state created a Peak Perks Targeted Demand Management Program as part of the NY REV initiative. The program, which started in 2016, was designed to defer the need for new infrastructure in three zones for 5-10 years. I</w:t>
      </w:r>
      <w:r w:rsidRPr="00007910" w:rsidR="00380F3B">
        <w:rPr>
          <w:rFonts w:ascii="Arial" w:hAnsi="Arial" w:cs="Arial"/>
          <w:sz w:val="24"/>
          <w:szCs w:val="24"/>
        </w:rPr>
        <w:t>n</w:t>
      </w:r>
      <w:r w:rsidRPr="00007910">
        <w:rPr>
          <w:rFonts w:ascii="Arial" w:hAnsi="Arial" w:cs="Arial"/>
          <w:sz w:val="24"/>
          <w:szCs w:val="24"/>
        </w:rPr>
        <w:t xml:space="preserve"> the first year, the utility exceeded the 5.3 MW load reduction target by achieving 5.9 MW of load reduction. It also achieved it’s 50% load reduction target of 8.0 MW in October 2017.</w:t>
      </w:r>
      <w:r w:rsidRPr="00007910" w:rsidR="00E86953">
        <w:rPr>
          <w:rStyle w:val="FootnoteReference"/>
          <w:rFonts w:cs="Arial"/>
          <w:szCs w:val="16"/>
        </w:rPr>
        <w:footnoteReference w:id="31"/>
      </w:r>
      <w:r w:rsidRPr="00007910">
        <w:rPr>
          <w:rFonts w:ascii="Arial" w:hAnsi="Arial" w:cs="Arial"/>
          <w:sz w:val="16"/>
          <w:szCs w:val="16"/>
        </w:rPr>
        <w:t xml:space="preserve"> </w:t>
      </w:r>
      <w:r w:rsidRPr="00007910" w:rsidR="00DF7F66">
        <w:rPr>
          <w:rFonts w:ascii="Arial" w:hAnsi="Arial" w:cs="Arial"/>
          <w:sz w:val="24"/>
          <w:szCs w:val="24"/>
        </w:rPr>
        <w:br/>
      </w:r>
    </w:p>
    <w:p w:rsidRPr="00007910" w:rsidR="00D6589C" w:rsidP="00E86953" w:rsidRDefault="00D6589C" w14:paraId="3ED8D6DC" w14:textId="17075F1A">
      <w:pPr>
        <w:pStyle w:val="ListParagraph"/>
        <w:numPr>
          <w:ilvl w:val="0"/>
          <w:numId w:val="23"/>
        </w:numPr>
        <w:spacing w:after="0" w:line="240" w:lineRule="auto"/>
        <w:rPr>
          <w:rFonts w:ascii="Arial" w:hAnsi="Arial" w:cs="Arial"/>
          <w:sz w:val="24"/>
          <w:szCs w:val="24"/>
        </w:rPr>
      </w:pPr>
      <w:r w:rsidRPr="00007910">
        <w:rPr>
          <w:rFonts w:ascii="Arial" w:hAnsi="Arial" w:cs="Arial"/>
          <w:sz w:val="24"/>
          <w:szCs w:val="24"/>
        </w:rPr>
        <w:t xml:space="preserve">Vermont has </w:t>
      </w:r>
      <w:r w:rsidRPr="00007910" w:rsidR="002D66F5">
        <w:rPr>
          <w:rFonts w:ascii="Arial" w:hAnsi="Arial" w:cs="Arial"/>
          <w:sz w:val="24"/>
          <w:szCs w:val="24"/>
        </w:rPr>
        <w:t>a system planning committee (known as</w:t>
      </w:r>
      <w:r w:rsidRPr="00007910">
        <w:rPr>
          <w:rFonts w:ascii="Arial" w:hAnsi="Arial" w:cs="Arial"/>
          <w:sz w:val="24"/>
          <w:szCs w:val="24"/>
        </w:rPr>
        <w:t xml:space="preserve"> VSPC</w:t>
      </w:r>
      <w:r w:rsidRPr="00007910" w:rsidR="002D66F5">
        <w:rPr>
          <w:rFonts w:ascii="Arial" w:hAnsi="Arial" w:cs="Arial"/>
          <w:sz w:val="24"/>
          <w:szCs w:val="24"/>
        </w:rPr>
        <w:t>)</w:t>
      </w:r>
      <w:r w:rsidRPr="00007910" w:rsidR="00352400">
        <w:rPr>
          <w:rFonts w:ascii="Arial" w:hAnsi="Arial" w:cs="Arial"/>
          <w:sz w:val="24"/>
          <w:szCs w:val="24"/>
        </w:rPr>
        <w:t xml:space="preserve"> created in 2007</w:t>
      </w:r>
      <w:r w:rsidRPr="00007910" w:rsidR="002D66F5">
        <w:rPr>
          <w:rFonts w:ascii="Arial" w:hAnsi="Arial" w:cs="Arial"/>
          <w:sz w:val="24"/>
          <w:szCs w:val="24"/>
        </w:rPr>
        <w:t xml:space="preserve"> which</w:t>
      </w:r>
      <w:r w:rsidRPr="00007910">
        <w:rPr>
          <w:rFonts w:ascii="Arial" w:hAnsi="Arial" w:cs="Arial"/>
          <w:sz w:val="24"/>
          <w:szCs w:val="24"/>
        </w:rPr>
        <w:t xml:space="preserve"> is a statewide collaborative process for addressing electric grid reliability planning. The goal of the process is to ensure full, </w:t>
      </w:r>
      <w:proofErr w:type="gramStart"/>
      <w:r w:rsidRPr="00007910">
        <w:rPr>
          <w:rFonts w:ascii="Arial" w:hAnsi="Arial" w:cs="Arial"/>
          <w:sz w:val="24"/>
          <w:szCs w:val="24"/>
        </w:rPr>
        <w:t>fair</w:t>
      </w:r>
      <w:proofErr w:type="gramEnd"/>
      <w:r w:rsidRPr="00007910">
        <w:rPr>
          <w:rFonts w:ascii="Arial" w:hAnsi="Arial" w:cs="Arial"/>
          <w:sz w:val="24"/>
          <w:szCs w:val="24"/>
        </w:rPr>
        <w:t xml:space="preserve"> and timely consideration of all options to solve grid reliability issues.</w:t>
      </w:r>
      <w:r w:rsidRPr="00007910" w:rsidR="00533563">
        <w:rPr>
          <w:rFonts w:ascii="Arial" w:hAnsi="Arial" w:cs="Arial"/>
          <w:sz w:val="24"/>
          <w:szCs w:val="24"/>
        </w:rPr>
        <w:t xml:space="preserve"> </w:t>
      </w:r>
      <w:r w:rsidRPr="00007910" w:rsidR="00C33F79">
        <w:rPr>
          <w:rFonts w:ascii="Arial" w:hAnsi="Arial" w:cs="Arial"/>
          <w:sz w:val="24"/>
          <w:szCs w:val="24"/>
        </w:rPr>
        <w:t>E</w:t>
      </w:r>
      <w:r w:rsidRPr="00007910" w:rsidR="005B2F3D">
        <w:rPr>
          <w:rFonts w:ascii="Arial" w:hAnsi="Arial" w:cs="Arial"/>
          <w:sz w:val="24"/>
          <w:szCs w:val="24"/>
        </w:rPr>
        <w:t>ach identified reliability issue on the electric grid must be screened to determine whether a potential exists to resolve the issue with some configuration of energy efficiency, demand response and generation, or a hybrid solutions</w:t>
      </w:r>
      <w:r w:rsidRPr="00007910" w:rsidR="00B6627C">
        <w:rPr>
          <w:rFonts w:ascii="Arial" w:hAnsi="Arial" w:cs="Arial"/>
          <w:sz w:val="24"/>
          <w:szCs w:val="24"/>
        </w:rPr>
        <w:t xml:space="preserve"> approach</w:t>
      </w:r>
      <w:r w:rsidRPr="00007910" w:rsidR="005B2F3D">
        <w:rPr>
          <w:rFonts w:ascii="Arial" w:hAnsi="Arial" w:cs="Arial"/>
          <w:sz w:val="24"/>
          <w:szCs w:val="24"/>
        </w:rPr>
        <w:t>. If a potential exists, the affected utilities then conduct a full analysis to determine whether some configuration of alternatives is cost effective.</w:t>
      </w:r>
      <w:r w:rsidRPr="00007910" w:rsidR="009B29BA">
        <w:rPr>
          <w:rStyle w:val="FootnoteReference"/>
          <w:rFonts w:cs="Arial"/>
          <w:szCs w:val="16"/>
        </w:rPr>
        <w:footnoteReference w:id="32"/>
      </w:r>
      <w:r w:rsidRPr="00007910" w:rsidR="00F94630">
        <w:rPr>
          <w:rFonts w:ascii="Arial" w:hAnsi="Arial" w:cs="Arial"/>
          <w:sz w:val="24"/>
          <w:szCs w:val="24"/>
        </w:rPr>
        <w:t xml:space="preserve"> </w:t>
      </w:r>
      <w:r w:rsidRPr="00007910" w:rsidR="009703BF">
        <w:rPr>
          <w:rFonts w:ascii="Arial" w:hAnsi="Arial" w:cs="Arial"/>
          <w:sz w:val="24"/>
          <w:szCs w:val="24"/>
        </w:rPr>
        <w:t xml:space="preserve">The analysis also contains </w:t>
      </w:r>
      <w:r w:rsidRPr="00007910" w:rsidR="00D53EA5">
        <w:rPr>
          <w:rFonts w:ascii="Arial" w:hAnsi="Arial" w:cs="Arial"/>
          <w:sz w:val="24"/>
          <w:szCs w:val="24"/>
        </w:rPr>
        <w:t xml:space="preserve">a </w:t>
      </w:r>
      <w:r w:rsidRPr="00007910" w:rsidR="009703BF">
        <w:rPr>
          <w:rFonts w:ascii="Arial" w:hAnsi="Arial" w:cs="Arial"/>
          <w:sz w:val="24"/>
          <w:szCs w:val="24"/>
        </w:rPr>
        <w:t xml:space="preserve">geotargeting </w:t>
      </w:r>
      <w:r w:rsidRPr="00007910" w:rsidR="00D53EA5">
        <w:rPr>
          <w:rFonts w:ascii="Arial" w:hAnsi="Arial" w:cs="Arial"/>
          <w:sz w:val="24"/>
          <w:szCs w:val="24"/>
        </w:rPr>
        <w:t>screening framework to determine where installing additional generation may provide sufficient benefit to reduce or eliminate the constraint without a poles-and-wires solution.</w:t>
      </w:r>
      <w:r w:rsidRPr="00007910" w:rsidR="00B2547B">
        <w:rPr>
          <w:rFonts w:ascii="Arial" w:hAnsi="Arial" w:cs="Arial"/>
          <w:sz w:val="24"/>
          <w:szCs w:val="24"/>
        </w:rPr>
        <w:t xml:space="preserve"> Due to declining load growth</w:t>
      </w:r>
      <w:r w:rsidRPr="00007910" w:rsidR="00456D50">
        <w:rPr>
          <w:rFonts w:ascii="Arial" w:hAnsi="Arial" w:cs="Arial"/>
          <w:sz w:val="24"/>
          <w:szCs w:val="24"/>
        </w:rPr>
        <w:t xml:space="preserve">, </w:t>
      </w:r>
      <w:r w:rsidRPr="00007910" w:rsidR="007E2749">
        <w:rPr>
          <w:rFonts w:ascii="Arial" w:hAnsi="Arial" w:cs="Arial"/>
          <w:sz w:val="24"/>
          <w:szCs w:val="24"/>
        </w:rPr>
        <w:t xml:space="preserve">few reliability constraints have been identified that would utilize </w:t>
      </w:r>
      <w:r w:rsidRPr="00007910" w:rsidR="00456D50">
        <w:rPr>
          <w:rFonts w:ascii="Arial" w:hAnsi="Arial" w:cs="Arial"/>
          <w:sz w:val="24"/>
          <w:szCs w:val="24"/>
        </w:rPr>
        <w:t xml:space="preserve">the screening process. </w:t>
      </w:r>
    </w:p>
    <w:p w:rsidRPr="00007910" w:rsidR="00E86953" w:rsidP="00494185" w:rsidRDefault="00E86953" w14:paraId="2ED1D51F" w14:textId="77777777">
      <w:pPr>
        <w:jc w:val="center"/>
        <w:rPr>
          <w:rStyle w:val="fontstyle01"/>
          <w:rFonts w:ascii="Arial" w:hAnsi="Arial" w:cs="Arial"/>
          <w:b/>
          <w:bCs/>
        </w:rPr>
      </w:pPr>
    </w:p>
    <w:p w:rsidRPr="00007910" w:rsidR="1D5F143A" w:rsidRDefault="1D5F143A" w14:paraId="7B1486CA" w14:textId="249726C2">
      <w:pPr>
        <w:rPr>
          <w:rFonts w:ascii="Arial" w:hAnsi="Arial" w:cs="Arial"/>
        </w:rPr>
      </w:pPr>
      <w:r w:rsidRPr="00007910">
        <w:rPr>
          <w:rFonts w:ascii="Arial" w:hAnsi="Arial" w:cs="Arial"/>
        </w:rPr>
        <w:br w:type="page"/>
      </w:r>
    </w:p>
    <w:p w:rsidRPr="00007910" w:rsidR="00AA6A7F" w:rsidP="00494185" w:rsidRDefault="00AA6A7F" w14:paraId="344E9C38" w14:textId="15660395">
      <w:pPr>
        <w:jc w:val="center"/>
        <w:rPr>
          <w:rStyle w:val="fontstyle01"/>
          <w:rFonts w:ascii="Arial" w:hAnsi="Arial" w:cs="Arial"/>
          <w:b/>
          <w:bCs/>
        </w:rPr>
      </w:pPr>
      <w:r w:rsidRPr="00007910">
        <w:rPr>
          <w:rStyle w:val="fontstyle01"/>
          <w:rFonts w:ascii="Arial" w:hAnsi="Arial" w:cs="Arial"/>
          <w:b/>
          <w:bCs/>
        </w:rPr>
        <w:lastRenderedPageBreak/>
        <w:t xml:space="preserve">Appendix </w:t>
      </w:r>
      <w:r w:rsidRPr="00007910" w:rsidR="00E86953">
        <w:rPr>
          <w:rStyle w:val="fontstyle01"/>
          <w:rFonts w:ascii="Arial" w:hAnsi="Arial" w:cs="Arial"/>
          <w:b/>
          <w:bCs/>
        </w:rPr>
        <w:t>B</w:t>
      </w:r>
    </w:p>
    <w:p w:rsidRPr="00007910" w:rsidR="00521244" w:rsidP="00521244" w:rsidRDefault="00AB7F9C" w14:paraId="62FEECB1" w14:textId="0E9ED97D">
      <w:pPr>
        <w:jc w:val="center"/>
        <w:rPr>
          <w:rStyle w:val="fontstyle01"/>
          <w:rFonts w:ascii="Arial" w:hAnsi="Arial" w:cs="Arial"/>
        </w:rPr>
      </w:pPr>
      <w:r w:rsidRPr="00007910">
        <w:rPr>
          <w:rStyle w:val="fontstyle01"/>
          <w:rFonts w:ascii="Arial" w:hAnsi="Arial" w:cs="Arial"/>
        </w:rPr>
        <w:t xml:space="preserve">Baseline </w:t>
      </w:r>
      <w:r w:rsidRPr="00007910" w:rsidR="00521244">
        <w:rPr>
          <w:rStyle w:val="fontstyle01"/>
          <w:rFonts w:ascii="Arial" w:hAnsi="Arial" w:cs="Arial"/>
        </w:rPr>
        <w:t>Distribution System</w:t>
      </w:r>
      <w:r w:rsidRPr="00007910">
        <w:rPr>
          <w:rStyle w:val="fontstyle01"/>
          <w:rFonts w:ascii="Arial" w:hAnsi="Arial" w:cs="Arial"/>
        </w:rPr>
        <w:t>, Financial, and DER Deployment</w:t>
      </w:r>
      <w:r w:rsidRPr="00007910" w:rsidR="00521244">
        <w:rPr>
          <w:rStyle w:val="fontstyle01"/>
          <w:rFonts w:ascii="Arial" w:hAnsi="Arial" w:cs="Arial"/>
        </w:rPr>
        <w:t xml:space="preserve"> Data and Information</w:t>
      </w:r>
      <w:r w:rsidRPr="00007910" w:rsidR="006C7E5C">
        <w:rPr>
          <w:rStyle w:val="fontstyle01"/>
          <w:rFonts w:ascii="Arial" w:hAnsi="Arial" w:cs="Arial"/>
        </w:rPr>
        <w:t xml:space="preserve"> </w:t>
      </w:r>
    </w:p>
    <w:p w:rsidRPr="00007910" w:rsidR="00521244" w:rsidP="00521244" w:rsidRDefault="00521244" w14:paraId="68CB3E88" w14:textId="77777777">
      <w:pPr>
        <w:jc w:val="center"/>
        <w:rPr>
          <w:rStyle w:val="fontstyle01"/>
          <w:rFonts w:ascii="Arial" w:hAnsi="Arial" w:cs="Arial"/>
        </w:rPr>
      </w:pPr>
      <w:r w:rsidRPr="00007910">
        <w:rPr>
          <w:rStyle w:val="fontstyle01"/>
          <w:rFonts w:ascii="Arial" w:hAnsi="Arial" w:cs="Arial"/>
        </w:rPr>
        <w:t>To be submitted by the EDC to the NWA process</w:t>
      </w:r>
    </w:p>
    <w:p w:rsidRPr="00007910" w:rsidR="00C27FEE" w:rsidP="00521244" w:rsidRDefault="00521244" w14:paraId="2FA309AF" w14:textId="579413C2">
      <w:pPr>
        <w:rPr>
          <w:rFonts w:ascii="Arial" w:hAnsi="Arial" w:cs="Arial"/>
        </w:rPr>
      </w:pPr>
      <w:r w:rsidRPr="00007910">
        <w:rPr>
          <w:rFonts w:ascii="Arial" w:hAnsi="Arial" w:cs="Arial"/>
          <w:b/>
          <w:bCs/>
          <w:color w:val="000000" w:themeColor="text1"/>
          <w:sz w:val="24"/>
          <w:szCs w:val="24"/>
        </w:rPr>
        <w:t>System Data</w:t>
      </w:r>
    </w:p>
    <w:p w:rsidRPr="00007910" w:rsidR="00C27FEE" w:rsidP="00C27FEE" w:rsidRDefault="00521244" w14:paraId="6670C53B" w14:textId="77777777">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Modeling and power flow software currently used (name and vintage)</w:t>
      </w:r>
    </w:p>
    <w:p w:rsidRPr="00007910" w:rsidR="00C27FEE" w:rsidP="00C27FEE" w:rsidRDefault="00521244" w14:paraId="0EE1BC7A"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Is software capable of probabilistic or Monte Carlo method forecasting?</w:t>
      </w:r>
    </w:p>
    <w:p w:rsidRPr="00007910" w:rsidR="00C27FEE" w:rsidP="00C27FEE" w:rsidRDefault="00521244" w14:paraId="3DD653FE"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Is there system interoperability or links between modeling software and other</w:t>
      </w:r>
      <w:r w:rsidRPr="00007910">
        <w:rPr>
          <w:rFonts w:ascii="Arial" w:hAnsi="Arial" w:cs="Arial"/>
        </w:rPr>
        <w:br/>
      </w:r>
      <w:r w:rsidRPr="00007910">
        <w:rPr>
          <w:rFonts w:ascii="Arial" w:hAnsi="Arial" w:cs="Arial"/>
          <w:color w:val="000000" w:themeColor="text1"/>
          <w:sz w:val="24"/>
          <w:szCs w:val="24"/>
        </w:rPr>
        <w:t>existing data platforms (e.g. Meter Data Management System (MDMS),</w:t>
      </w:r>
      <w:r w:rsidRPr="00007910">
        <w:rPr>
          <w:rFonts w:ascii="Arial" w:hAnsi="Arial" w:cs="Arial"/>
        </w:rPr>
        <w:br/>
      </w:r>
      <w:r w:rsidRPr="00007910">
        <w:rPr>
          <w:rFonts w:ascii="Arial" w:hAnsi="Arial" w:cs="Arial"/>
          <w:color w:val="000000" w:themeColor="text1"/>
          <w:sz w:val="24"/>
          <w:szCs w:val="24"/>
        </w:rPr>
        <w:t>Supervisory Control and Data Acquisition (SCADA), PI (Historian type</w:t>
      </w:r>
      <w:r w:rsidRPr="00007910">
        <w:rPr>
          <w:rFonts w:ascii="Arial" w:hAnsi="Arial" w:cs="Arial"/>
        </w:rPr>
        <w:br/>
      </w:r>
      <w:r w:rsidRPr="00007910">
        <w:rPr>
          <w:rFonts w:ascii="Arial" w:hAnsi="Arial" w:cs="Arial"/>
          <w:color w:val="000000" w:themeColor="text1"/>
          <w:sz w:val="24"/>
          <w:szCs w:val="24"/>
        </w:rPr>
        <w:t>database), Geographic Information System (GIS), Esri, etc.?</w:t>
      </w:r>
    </w:p>
    <w:p w:rsidRPr="00007910" w:rsidR="00C27FEE" w:rsidP="00C27FEE" w:rsidRDefault="00521244" w14:paraId="03759F45"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Are there planned software deployments that will impact 1(a) and (b)?</w:t>
      </w:r>
    </w:p>
    <w:p w:rsidRPr="00007910" w:rsidR="00C27FEE" w:rsidP="00C27FEE" w:rsidRDefault="00521244" w14:paraId="11A758EE" w14:textId="4D3D0E3F">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GIS system information, including how up to date the system is, the method</w:t>
      </w:r>
      <w:r w:rsidR="00A75E2F">
        <w:rPr>
          <w:rFonts w:ascii="Arial" w:hAnsi="Arial" w:cs="Arial"/>
          <w:color w:val="000000" w:themeColor="text1"/>
          <w:sz w:val="24"/>
          <w:szCs w:val="24"/>
        </w:rPr>
        <w:t xml:space="preserve"> </w:t>
      </w:r>
      <w:r w:rsidRPr="00007910">
        <w:rPr>
          <w:rFonts w:ascii="Arial" w:hAnsi="Arial" w:cs="Arial"/>
          <w:color w:val="000000" w:themeColor="text1"/>
          <w:sz w:val="24"/>
          <w:szCs w:val="24"/>
        </w:rPr>
        <w:t>and frequency for updating the data, how the data is used in planning, the</w:t>
      </w:r>
      <w:r w:rsidR="00A75E2F">
        <w:rPr>
          <w:rFonts w:ascii="Arial" w:hAnsi="Arial" w:cs="Arial"/>
          <w:color w:val="000000" w:themeColor="text1"/>
          <w:sz w:val="24"/>
          <w:szCs w:val="24"/>
        </w:rPr>
        <w:t xml:space="preserve"> </w:t>
      </w:r>
      <w:r w:rsidRPr="00007910">
        <w:rPr>
          <w:rFonts w:ascii="Arial" w:hAnsi="Arial" w:cs="Arial"/>
          <w:color w:val="000000" w:themeColor="text1"/>
          <w:sz w:val="24"/>
          <w:szCs w:val="24"/>
        </w:rPr>
        <w:t>methodology for validating the data, and operations models utilizing that data</w:t>
      </w:r>
      <w:r w:rsidR="00A75E2F">
        <w:rPr>
          <w:rFonts w:ascii="Arial" w:hAnsi="Arial" w:cs="Arial"/>
          <w:color w:val="000000" w:themeColor="text1"/>
          <w:sz w:val="24"/>
          <w:szCs w:val="24"/>
        </w:rPr>
        <w:t xml:space="preserve"> </w:t>
      </w:r>
      <w:r w:rsidRPr="00007910">
        <w:rPr>
          <w:rFonts w:ascii="Arial" w:hAnsi="Arial" w:cs="Arial"/>
          <w:color w:val="000000" w:themeColor="text1"/>
          <w:sz w:val="24"/>
          <w:szCs w:val="24"/>
        </w:rPr>
        <w:t>hosting capacity analysis.</w:t>
      </w:r>
    </w:p>
    <w:p w:rsidRPr="00007910" w:rsidR="00C27FEE" w:rsidP="00C27FEE" w:rsidRDefault="00521244" w14:paraId="14156142" w14:textId="77777777">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Annual peak load growth at the most granular level available i.e. the circuit,</w:t>
      </w:r>
      <w:r w:rsidRPr="00007910">
        <w:rPr>
          <w:rFonts w:ascii="Arial" w:hAnsi="Arial" w:cs="Arial"/>
        </w:rPr>
        <w:br/>
      </w:r>
      <w:r w:rsidRPr="00007910">
        <w:rPr>
          <w:rFonts w:ascii="Arial" w:hAnsi="Arial" w:cs="Arial"/>
          <w:color w:val="000000" w:themeColor="text1"/>
          <w:sz w:val="24"/>
          <w:szCs w:val="24"/>
        </w:rPr>
        <w:t>substation, town, operating area, or system level for each of the past five</w:t>
      </w:r>
      <w:r w:rsidRPr="00007910">
        <w:rPr>
          <w:rFonts w:ascii="Arial" w:hAnsi="Arial" w:cs="Arial"/>
        </w:rPr>
        <w:br/>
      </w:r>
      <w:r w:rsidRPr="00007910">
        <w:rPr>
          <w:rFonts w:ascii="Arial" w:hAnsi="Arial" w:cs="Arial"/>
          <w:color w:val="000000" w:themeColor="text1"/>
          <w:sz w:val="24"/>
          <w:szCs w:val="24"/>
        </w:rPr>
        <w:t>years and forecasted load growth for each of the next ten years</w:t>
      </w:r>
    </w:p>
    <w:p w:rsidRPr="00007910" w:rsidR="00E44283" w:rsidP="00C27FEE" w:rsidRDefault="00521244" w14:paraId="5EA78272" w14:textId="7ADA99C7">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 xml:space="preserve">Distribution system load forecast for all circuits, including circuit capacity, </w:t>
      </w:r>
      <w:proofErr w:type="gramStart"/>
      <w:r w:rsidRPr="00007910">
        <w:rPr>
          <w:rFonts w:ascii="Arial" w:hAnsi="Arial" w:cs="Arial"/>
          <w:color w:val="000000" w:themeColor="text1"/>
          <w:sz w:val="24"/>
          <w:szCs w:val="24"/>
        </w:rPr>
        <w:t>Including</w:t>
      </w:r>
      <w:proofErr w:type="gramEnd"/>
      <w:r w:rsidR="001718D1">
        <w:rPr>
          <w:rFonts w:ascii="Arial" w:hAnsi="Arial" w:cs="Arial"/>
          <w:color w:val="000000" w:themeColor="text1"/>
          <w:sz w:val="24"/>
          <w:szCs w:val="24"/>
        </w:rPr>
        <w:t xml:space="preserve"> </w:t>
      </w:r>
      <w:r w:rsidRPr="00007910">
        <w:rPr>
          <w:rFonts w:ascii="Arial" w:hAnsi="Arial" w:cs="Arial"/>
          <w:color w:val="000000" w:themeColor="text1"/>
          <w:sz w:val="24"/>
          <w:szCs w:val="24"/>
        </w:rPr>
        <w:t>historic loading, both maximum peak day and minimum day, for the past three years,</w:t>
      </w:r>
      <w:r w:rsidRPr="00007910" w:rsidR="00C27FEE">
        <w:rPr>
          <w:rFonts w:ascii="Arial" w:hAnsi="Arial" w:cs="Arial"/>
          <w:color w:val="000000" w:themeColor="text1"/>
          <w:sz w:val="24"/>
          <w:szCs w:val="24"/>
        </w:rPr>
        <w:t xml:space="preserve"> </w:t>
      </w:r>
      <w:r w:rsidRPr="00007910">
        <w:rPr>
          <w:rFonts w:ascii="Arial" w:hAnsi="Arial" w:cs="Arial"/>
          <w:color w:val="000000" w:themeColor="text1"/>
          <w:sz w:val="24"/>
          <w:szCs w:val="24"/>
        </w:rPr>
        <w:t xml:space="preserve">including projected new loading, and projected </w:t>
      </w:r>
      <w:r w:rsidRPr="00007910" w:rsidR="00AD5600">
        <w:rPr>
          <w:rFonts w:ascii="Arial" w:hAnsi="Arial" w:cs="Arial"/>
          <w:color w:val="000000" w:themeColor="text1"/>
          <w:sz w:val="24"/>
          <w:szCs w:val="24"/>
        </w:rPr>
        <w:t>Distributed Energy Resources (“</w:t>
      </w:r>
      <w:r w:rsidRPr="00007910" w:rsidR="00E44283">
        <w:rPr>
          <w:rFonts w:ascii="Arial" w:hAnsi="Arial" w:cs="Arial"/>
          <w:color w:val="000000" w:themeColor="text1"/>
          <w:sz w:val="24"/>
          <w:szCs w:val="24"/>
        </w:rPr>
        <w:t>DER</w:t>
      </w:r>
      <w:r w:rsidRPr="00007910" w:rsidR="00AD5600">
        <w:rPr>
          <w:rFonts w:ascii="Arial" w:hAnsi="Arial" w:cs="Arial"/>
          <w:color w:val="000000" w:themeColor="text1"/>
          <w:sz w:val="24"/>
          <w:szCs w:val="24"/>
        </w:rPr>
        <w:t>”)</w:t>
      </w:r>
      <w:r w:rsidRPr="00007910" w:rsidR="00E44283">
        <w:rPr>
          <w:rFonts w:ascii="Arial" w:hAnsi="Arial" w:cs="Arial"/>
          <w:color w:val="000000" w:themeColor="text1"/>
          <w:sz w:val="24"/>
          <w:szCs w:val="24"/>
        </w:rPr>
        <w:t xml:space="preserve"> </w:t>
      </w:r>
      <w:r w:rsidRPr="00007910">
        <w:rPr>
          <w:rFonts w:ascii="Arial" w:hAnsi="Arial" w:cs="Arial"/>
          <w:color w:val="000000" w:themeColor="text1"/>
          <w:sz w:val="24"/>
          <w:szCs w:val="24"/>
        </w:rPr>
        <w:t>impacts</w:t>
      </w:r>
    </w:p>
    <w:p w:rsidRPr="00007910" w:rsidR="00E44283" w:rsidP="00C27FEE" w:rsidRDefault="00521244" w14:paraId="2412ED37" w14:textId="2E262EF0">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Number of substations (transmission to distribution or sub-transmission to</w:t>
      </w:r>
      <w:r w:rsidRPr="00007910">
        <w:rPr>
          <w:rFonts w:ascii="Arial" w:hAnsi="Arial" w:cs="Arial"/>
        </w:rPr>
        <w:br/>
      </w:r>
      <w:r w:rsidRPr="00007910">
        <w:rPr>
          <w:rFonts w:ascii="Arial" w:hAnsi="Arial" w:cs="Arial"/>
          <w:color w:val="000000" w:themeColor="text1"/>
          <w:sz w:val="24"/>
          <w:szCs w:val="24"/>
        </w:rPr>
        <w:t>distribution) which feed only distribution level customers</w:t>
      </w:r>
    </w:p>
    <w:p w:rsidRPr="00007910" w:rsidR="00E44283" w:rsidP="00E44283" w:rsidRDefault="00521244" w14:paraId="73F656DF" w14:textId="09E36935">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Number and Percentage that have no remote monitoring at the feeder level</w:t>
      </w:r>
    </w:p>
    <w:p w:rsidRPr="00007910" w:rsidR="00E44283" w:rsidP="00E44283" w:rsidRDefault="00521244" w14:paraId="19FC0098" w14:textId="7447DCAF">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Number and Percentage that have more detailed remote monitoring but no control</w:t>
      </w:r>
    </w:p>
    <w:p w:rsidRPr="00007910" w:rsidR="00E44283" w:rsidP="00E44283" w:rsidRDefault="00521244" w14:paraId="2AA51BF6" w14:textId="03EA1BE4">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Number and Percentage that have detailed remote monitoring and control</w:t>
      </w:r>
    </w:p>
    <w:p w:rsidRPr="00007910" w:rsidR="00E44283" w:rsidP="00E44283" w:rsidRDefault="00521244" w14:paraId="7C087E3D" w14:textId="473CA61C">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Any planned additions to enhance 4 (a) and (b)</w:t>
      </w:r>
    </w:p>
    <w:p w:rsidRPr="00007910" w:rsidR="00E44283" w:rsidP="00E44283" w:rsidRDefault="00521244" w14:paraId="08317FBD" w14:textId="41944ADF">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Number of distribution substations (transmission to sub-transmission supply) whose</w:t>
      </w:r>
      <w:r w:rsidR="001718D1">
        <w:rPr>
          <w:rFonts w:ascii="Arial" w:hAnsi="Arial" w:cs="Arial"/>
        </w:rPr>
        <w:t xml:space="preserve"> </w:t>
      </w:r>
      <w:r w:rsidRPr="00007910">
        <w:rPr>
          <w:rFonts w:ascii="Arial" w:hAnsi="Arial" w:cs="Arial"/>
          <w:color w:val="000000" w:themeColor="text1"/>
          <w:sz w:val="24"/>
          <w:szCs w:val="24"/>
        </w:rPr>
        <w:t>circuits feed only the high side of another distribution substation</w:t>
      </w:r>
    </w:p>
    <w:p w:rsidRPr="00007910" w:rsidR="00E44283" w:rsidP="00E44283" w:rsidRDefault="00521244" w14:paraId="79120B4B" w14:textId="570A49D3">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Number and Percentage that have no remote monitoring at the sub-transmission feeder</w:t>
      </w:r>
      <w:r w:rsidRPr="00007910" w:rsidR="00E44283">
        <w:rPr>
          <w:rFonts w:ascii="Arial" w:hAnsi="Arial" w:cs="Arial"/>
          <w:color w:val="000000" w:themeColor="text1"/>
          <w:sz w:val="24"/>
          <w:szCs w:val="24"/>
        </w:rPr>
        <w:t xml:space="preserve"> </w:t>
      </w:r>
      <w:r w:rsidRPr="00007910">
        <w:rPr>
          <w:rFonts w:ascii="Arial" w:hAnsi="Arial" w:cs="Arial"/>
          <w:color w:val="000000" w:themeColor="text1"/>
          <w:sz w:val="24"/>
          <w:szCs w:val="24"/>
        </w:rPr>
        <w:t>level</w:t>
      </w:r>
    </w:p>
    <w:p w:rsidRPr="00007910" w:rsidR="00E44283" w:rsidP="00E44283" w:rsidRDefault="00521244" w14:paraId="16F0ABCC" w14:textId="40BF011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Number and Percentage that have more detailed remote monitoring but no control</w:t>
      </w:r>
    </w:p>
    <w:p w:rsidRPr="00007910" w:rsidR="00E44283" w:rsidP="00E44283" w:rsidRDefault="00521244" w14:paraId="75EB1AE8" w14:textId="7A99963C">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Number and Percentage that have detailed remote monitoring and control</w:t>
      </w:r>
    </w:p>
    <w:p w:rsidRPr="00007910" w:rsidR="00E44283" w:rsidP="00521244" w:rsidRDefault="00521244" w14:paraId="4037A911" w14:textId="7125758D">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Any planned additions to enhance 5 (a) and (b)</w:t>
      </w:r>
    </w:p>
    <w:p w:rsidRPr="00007910" w:rsidR="00E44283" w:rsidP="00E44283" w:rsidRDefault="00521244" w14:paraId="599BA934" w14:textId="19778ABF">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lastRenderedPageBreak/>
        <w:t>Number of hybrid distribution substations (transmission to sub-transmission and</w:t>
      </w:r>
      <w:r w:rsidR="00A75E2F">
        <w:rPr>
          <w:rFonts w:ascii="Arial" w:hAnsi="Arial" w:cs="Arial"/>
          <w:color w:val="000000" w:themeColor="text1"/>
          <w:sz w:val="24"/>
          <w:szCs w:val="24"/>
        </w:rPr>
        <w:t xml:space="preserve"> </w:t>
      </w:r>
      <w:r w:rsidRPr="00007910">
        <w:rPr>
          <w:rFonts w:ascii="Arial" w:hAnsi="Arial" w:cs="Arial"/>
          <w:color w:val="000000" w:themeColor="text1"/>
          <w:sz w:val="24"/>
          <w:szCs w:val="24"/>
        </w:rPr>
        <w:t xml:space="preserve">distribution circuits) </w:t>
      </w:r>
      <w:r w:rsidR="00A75E2F">
        <w:rPr>
          <w:rFonts w:ascii="Arial" w:hAnsi="Arial" w:cs="Arial"/>
          <w:color w:val="000000" w:themeColor="text1"/>
          <w:sz w:val="24"/>
          <w:szCs w:val="24"/>
        </w:rPr>
        <w:t>that</w:t>
      </w:r>
      <w:r w:rsidRPr="00007910" w:rsidR="00A75E2F">
        <w:rPr>
          <w:rFonts w:ascii="Arial" w:hAnsi="Arial" w:cs="Arial"/>
          <w:color w:val="000000" w:themeColor="text1"/>
          <w:sz w:val="24"/>
          <w:szCs w:val="24"/>
        </w:rPr>
        <w:t xml:space="preserve"> </w:t>
      </w:r>
      <w:r w:rsidRPr="00007910">
        <w:rPr>
          <w:rFonts w:ascii="Arial" w:hAnsi="Arial" w:cs="Arial"/>
          <w:color w:val="000000" w:themeColor="text1"/>
          <w:sz w:val="24"/>
          <w:szCs w:val="24"/>
        </w:rPr>
        <w:t>may feed both distribution customers and provide sub</w:t>
      </w:r>
      <w:r w:rsidRPr="00007910" w:rsidR="00A7561E">
        <w:rPr>
          <w:rFonts w:ascii="Arial" w:hAnsi="Arial" w:cs="Arial"/>
          <w:color w:val="000000" w:themeColor="text1"/>
          <w:sz w:val="24"/>
          <w:szCs w:val="24"/>
        </w:rPr>
        <w:t>-</w:t>
      </w:r>
      <w:r w:rsidRPr="00007910">
        <w:rPr>
          <w:rFonts w:ascii="Arial" w:hAnsi="Arial" w:cs="Arial"/>
          <w:color w:val="000000" w:themeColor="text1"/>
          <w:sz w:val="24"/>
          <w:szCs w:val="24"/>
        </w:rPr>
        <w:t>transmission to other distribution substations</w:t>
      </w:r>
    </w:p>
    <w:p w:rsidRPr="00007910" w:rsidR="00E44283" w:rsidP="00E44283" w:rsidRDefault="00521244" w14:paraId="535921DA" w14:textId="512A3639">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Number and Percentage that have no monitoring at the feeder/sub-transmission level</w:t>
      </w:r>
    </w:p>
    <w:p w:rsidRPr="00007910" w:rsidR="00E44283" w:rsidP="00E44283" w:rsidRDefault="00521244" w14:paraId="6E5D5BBC" w14:textId="5B6EFFEC">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Number and Percentage that have more detailed and complex monitoring but no control</w:t>
      </w:r>
    </w:p>
    <w:p w:rsidRPr="00007910" w:rsidR="00E44283" w:rsidP="00E44283" w:rsidRDefault="00521244" w14:paraId="210CF45D" w14:textId="09075E6B">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Number and Percentage that have detailed monitoring and control</w:t>
      </w:r>
      <w:r w:rsidRPr="00007910" w:rsidR="00E44283">
        <w:rPr>
          <w:rFonts w:ascii="Arial" w:hAnsi="Arial" w:cs="Arial"/>
          <w:color w:val="000000" w:themeColor="text1"/>
          <w:sz w:val="24"/>
          <w:szCs w:val="24"/>
        </w:rPr>
        <w:t>.</w:t>
      </w:r>
    </w:p>
    <w:p w:rsidRPr="00007910" w:rsidR="00E44283" w:rsidP="00E44283" w:rsidRDefault="00521244" w14:paraId="5A341AE1" w14:textId="4C5CEB0F">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 xml:space="preserve">Are there planned additions to enhance 6 (a) </w:t>
      </w:r>
      <w:proofErr w:type="gramStart"/>
      <w:r w:rsidRPr="00007910">
        <w:rPr>
          <w:rFonts w:ascii="Arial" w:hAnsi="Arial" w:cs="Arial"/>
          <w:color w:val="000000" w:themeColor="text1"/>
          <w:sz w:val="24"/>
          <w:szCs w:val="24"/>
        </w:rPr>
        <w:t>and (b)</w:t>
      </w:r>
      <w:proofErr w:type="gramEnd"/>
    </w:p>
    <w:p w:rsidRPr="00007910" w:rsidR="00E44283" w:rsidP="00E44283" w:rsidRDefault="00521244" w14:paraId="3F1D1254" w14:textId="77777777">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Sub-Feeder level visibility and measurement</w:t>
      </w:r>
    </w:p>
    <w:p w:rsidRPr="00007910" w:rsidR="00A7561E" w:rsidP="00E44283" w:rsidRDefault="00521244" w14:paraId="2786D62F"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Distribution Feeder Level: Percentage that have 2 or more remote sensor</w:t>
      </w:r>
      <w:r w:rsidRPr="00007910">
        <w:rPr>
          <w:rFonts w:ascii="Arial" w:hAnsi="Arial" w:cs="Arial"/>
        </w:rPr>
        <w:br/>
      </w:r>
      <w:r w:rsidRPr="00007910">
        <w:rPr>
          <w:rFonts w:ascii="Arial" w:hAnsi="Arial" w:cs="Arial"/>
          <w:color w:val="000000" w:themeColor="text1"/>
          <w:sz w:val="24"/>
          <w:szCs w:val="24"/>
        </w:rPr>
        <w:t xml:space="preserve">monitoring on three </w:t>
      </w:r>
      <w:proofErr w:type="gramStart"/>
      <w:r w:rsidRPr="00007910">
        <w:rPr>
          <w:rFonts w:ascii="Arial" w:hAnsi="Arial" w:cs="Arial"/>
          <w:color w:val="000000" w:themeColor="text1"/>
          <w:sz w:val="24"/>
          <w:szCs w:val="24"/>
        </w:rPr>
        <w:t>phase</w:t>
      </w:r>
      <w:proofErr w:type="gramEnd"/>
      <w:r w:rsidRPr="00007910">
        <w:rPr>
          <w:rFonts w:ascii="Arial" w:hAnsi="Arial" w:cs="Arial"/>
          <w:color w:val="000000" w:themeColor="text1"/>
          <w:sz w:val="24"/>
          <w:szCs w:val="24"/>
        </w:rPr>
        <w:t xml:space="preserve"> mainline. Indicate type of measurement (voltage,</w:t>
      </w:r>
      <w:r w:rsidRPr="00007910">
        <w:rPr>
          <w:rFonts w:ascii="Arial" w:hAnsi="Arial" w:cs="Arial"/>
        </w:rPr>
        <w:br/>
      </w:r>
      <w:r w:rsidRPr="00007910">
        <w:rPr>
          <w:rFonts w:ascii="Arial" w:hAnsi="Arial" w:cs="Arial"/>
          <w:color w:val="000000" w:themeColor="text1"/>
          <w:sz w:val="24"/>
          <w:szCs w:val="24"/>
        </w:rPr>
        <w:t>current, etc.) and interval timeframe of data capture</w:t>
      </w:r>
    </w:p>
    <w:p w:rsidRPr="00007910" w:rsidR="00A7561E" w:rsidP="00E44283" w:rsidRDefault="00521244" w14:paraId="3746CCCE" w14:textId="1209B454">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Sub-transmission Feeder Level: Percentage that have 2 or more remote sensor</w:t>
      </w:r>
      <w:r w:rsidRPr="00007910" w:rsidR="00A7561E">
        <w:rPr>
          <w:rFonts w:ascii="Arial" w:hAnsi="Arial" w:cs="Arial"/>
          <w:color w:val="000000" w:themeColor="text1"/>
          <w:sz w:val="24"/>
          <w:szCs w:val="24"/>
        </w:rPr>
        <w:t xml:space="preserve"> </w:t>
      </w:r>
      <w:r w:rsidRPr="00007910">
        <w:rPr>
          <w:rFonts w:ascii="Arial" w:hAnsi="Arial" w:cs="Arial"/>
          <w:color w:val="000000" w:themeColor="text1"/>
          <w:sz w:val="24"/>
          <w:szCs w:val="24"/>
        </w:rPr>
        <w:t xml:space="preserve">monitoring on three </w:t>
      </w:r>
      <w:proofErr w:type="gramStart"/>
      <w:r w:rsidRPr="00007910">
        <w:rPr>
          <w:rFonts w:ascii="Arial" w:hAnsi="Arial" w:cs="Arial"/>
          <w:color w:val="000000" w:themeColor="text1"/>
          <w:sz w:val="24"/>
          <w:szCs w:val="24"/>
        </w:rPr>
        <w:t>phase</w:t>
      </w:r>
      <w:proofErr w:type="gramEnd"/>
      <w:r w:rsidRPr="00007910">
        <w:rPr>
          <w:rFonts w:ascii="Arial" w:hAnsi="Arial" w:cs="Arial"/>
          <w:color w:val="000000" w:themeColor="text1"/>
          <w:sz w:val="24"/>
          <w:szCs w:val="24"/>
        </w:rPr>
        <w:t xml:space="preserve"> mainline. Indicate type of measurement and</w:t>
      </w:r>
      <w:r w:rsidRPr="00007910" w:rsidR="00A7561E">
        <w:rPr>
          <w:rFonts w:ascii="Arial" w:hAnsi="Arial" w:cs="Arial"/>
          <w:color w:val="000000" w:themeColor="text1"/>
          <w:sz w:val="24"/>
          <w:szCs w:val="24"/>
        </w:rPr>
        <w:t xml:space="preserve"> </w:t>
      </w:r>
      <w:r w:rsidRPr="00007910">
        <w:rPr>
          <w:rFonts w:ascii="Arial" w:hAnsi="Arial" w:cs="Arial"/>
          <w:color w:val="000000" w:themeColor="text1"/>
          <w:sz w:val="24"/>
          <w:szCs w:val="24"/>
        </w:rPr>
        <w:t>interval timeframe of data capture</w:t>
      </w:r>
    </w:p>
    <w:p w:rsidRPr="00007910" w:rsidR="00A7561E" w:rsidP="00E44283" w:rsidRDefault="00521244" w14:paraId="28B3FF7C"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Summary of past (last 3 years) and future (next 3 years) annual installments of</w:t>
      </w:r>
      <w:r w:rsidRPr="00007910" w:rsidR="00A7561E">
        <w:rPr>
          <w:rFonts w:ascii="Arial" w:hAnsi="Arial" w:cs="Arial"/>
          <w:color w:val="000000" w:themeColor="text1"/>
          <w:sz w:val="24"/>
          <w:szCs w:val="24"/>
        </w:rPr>
        <w:t xml:space="preserve"> </w:t>
      </w:r>
      <w:r w:rsidRPr="00007910">
        <w:rPr>
          <w:rFonts w:ascii="Arial" w:hAnsi="Arial" w:cs="Arial"/>
          <w:color w:val="000000" w:themeColor="text1"/>
          <w:sz w:val="24"/>
          <w:szCs w:val="24"/>
        </w:rPr>
        <w:t>sensor devices at the sub-feeder level</w:t>
      </w:r>
    </w:p>
    <w:p w:rsidRPr="00007910" w:rsidR="00A7561E" w:rsidP="00A7561E" w:rsidRDefault="00521244" w14:paraId="3CA8F74F" w14:textId="2B89E4ED">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Number of customer meters with Advanced Metering Infrastructure</w:t>
      </w:r>
      <w:r w:rsidR="00A75E2F">
        <w:rPr>
          <w:rFonts w:ascii="Arial" w:hAnsi="Arial" w:cs="Arial"/>
          <w:color w:val="000000" w:themeColor="text1"/>
          <w:sz w:val="24"/>
          <w:szCs w:val="24"/>
        </w:rPr>
        <w:t xml:space="preserve"> </w:t>
      </w:r>
      <w:r w:rsidRPr="00007910">
        <w:rPr>
          <w:rFonts w:ascii="Arial" w:hAnsi="Arial" w:cs="Arial"/>
          <w:color w:val="000000" w:themeColor="text1"/>
          <w:sz w:val="24"/>
          <w:szCs w:val="24"/>
        </w:rPr>
        <w:t>(“AMI”)/Advanced Meter Reading (“AMR”)/Bridge AMR and those without,</w:t>
      </w:r>
      <w:r w:rsidR="00A75E2F">
        <w:rPr>
          <w:rFonts w:ascii="Arial" w:hAnsi="Arial" w:cs="Arial"/>
          <w:color w:val="000000" w:themeColor="text1"/>
          <w:sz w:val="24"/>
          <w:szCs w:val="24"/>
        </w:rPr>
        <w:t xml:space="preserve"> </w:t>
      </w:r>
      <w:r w:rsidRPr="00007910">
        <w:rPr>
          <w:rFonts w:ascii="Arial" w:hAnsi="Arial" w:cs="Arial"/>
          <w:color w:val="000000" w:themeColor="text1"/>
          <w:sz w:val="24"/>
          <w:szCs w:val="24"/>
        </w:rPr>
        <w:t>planned AMI/AMR/Bridge AMR or collector investments, and overview of existing</w:t>
      </w:r>
      <w:r w:rsidRPr="00007910">
        <w:rPr>
          <w:rFonts w:ascii="Arial" w:hAnsi="Arial" w:cs="Arial"/>
        </w:rPr>
        <w:br/>
      </w:r>
      <w:r w:rsidRPr="00007910">
        <w:rPr>
          <w:rFonts w:ascii="Arial" w:hAnsi="Arial" w:cs="Arial"/>
          <w:color w:val="000000" w:themeColor="text1"/>
          <w:sz w:val="24"/>
          <w:szCs w:val="24"/>
        </w:rPr>
        <w:t>functionality available</w:t>
      </w:r>
    </w:p>
    <w:p w:rsidRPr="00007910" w:rsidR="004112A4" w:rsidP="00A7561E" w:rsidRDefault="00521244" w14:paraId="59A8A78A" w14:textId="77777777">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Discussion of how the distribution system planning is coordinated with the integrated</w:t>
      </w:r>
      <w:r w:rsidRPr="00007910" w:rsidR="00A7561E">
        <w:rPr>
          <w:rFonts w:ascii="Arial" w:hAnsi="Arial" w:cs="Arial"/>
          <w:color w:val="000000" w:themeColor="text1"/>
          <w:sz w:val="24"/>
          <w:szCs w:val="24"/>
        </w:rPr>
        <w:t xml:space="preserve"> </w:t>
      </w:r>
      <w:r w:rsidRPr="00007910">
        <w:rPr>
          <w:rFonts w:ascii="Arial" w:hAnsi="Arial" w:cs="Arial"/>
          <w:color w:val="000000" w:themeColor="text1"/>
          <w:sz w:val="24"/>
          <w:szCs w:val="24"/>
        </w:rPr>
        <w:t>resource plan (“IRP”) (including how it informs and is informed by the IRP), and</w:t>
      </w:r>
      <w:r w:rsidRPr="00007910" w:rsidR="004112A4">
        <w:rPr>
          <w:rFonts w:ascii="Arial" w:hAnsi="Arial" w:cs="Arial"/>
          <w:color w:val="000000" w:themeColor="text1"/>
          <w:sz w:val="24"/>
          <w:szCs w:val="24"/>
        </w:rPr>
        <w:t xml:space="preserve"> </w:t>
      </w:r>
      <w:r w:rsidRPr="00007910">
        <w:rPr>
          <w:rFonts w:ascii="Arial" w:hAnsi="Arial" w:cs="Arial"/>
          <w:color w:val="000000" w:themeColor="text1"/>
          <w:sz w:val="24"/>
          <w:szCs w:val="24"/>
        </w:rPr>
        <w:t>planned modifications or planned changes to the existing process to improve</w:t>
      </w:r>
      <w:r w:rsidRPr="00007910" w:rsidR="004112A4">
        <w:rPr>
          <w:rFonts w:ascii="Arial" w:hAnsi="Arial" w:cs="Arial"/>
          <w:color w:val="000000" w:themeColor="text1"/>
          <w:sz w:val="24"/>
          <w:szCs w:val="24"/>
        </w:rPr>
        <w:t xml:space="preserve"> </w:t>
      </w:r>
      <w:r w:rsidRPr="00007910">
        <w:rPr>
          <w:rFonts w:ascii="Arial" w:hAnsi="Arial" w:cs="Arial"/>
          <w:color w:val="000000" w:themeColor="text1"/>
          <w:sz w:val="24"/>
          <w:szCs w:val="24"/>
        </w:rPr>
        <w:t>coordination and integration between the two plans.</w:t>
      </w:r>
    </w:p>
    <w:p w:rsidRPr="00007910" w:rsidR="004112A4" w:rsidP="00A7561E" w:rsidRDefault="00521244" w14:paraId="5E881565" w14:textId="1C1AF760">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Discussion of how DER and at what level is considered in load forecastin</w:t>
      </w:r>
      <w:r w:rsidR="00A75E2F">
        <w:rPr>
          <w:rFonts w:ascii="Arial" w:hAnsi="Arial" w:cs="Arial"/>
          <w:color w:val="000000" w:themeColor="text1"/>
          <w:sz w:val="24"/>
          <w:szCs w:val="24"/>
        </w:rPr>
        <w:t>g</w:t>
      </w:r>
      <w:r w:rsidRPr="00007910" w:rsidR="004112A4">
        <w:rPr>
          <w:rFonts w:ascii="Arial" w:hAnsi="Arial" w:cs="Arial"/>
          <w:color w:val="000000" w:themeColor="text1"/>
          <w:sz w:val="24"/>
          <w:szCs w:val="24"/>
        </w:rPr>
        <w:t xml:space="preserve"> </w:t>
      </w:r>
      <w:r w:rsidRPr="00007910">
        <w:rPr>
          <w:rFonts w:ascii="Arial" w:hAnsi="Arial" w:cs="Arial"/>
          <w:color w:val="000000" w:themeColor="text1"/>
          <w:sz w:val="24"/>
          <w:szCs w:val="24"/>
        </w:rPr>
        <w:t>(distribution feeder, sub-transmission level, distribution substation, bulk distribution</w:t>
      </w:r>
      <w:r w:rsidR="00A75E2F">
        <w:rPr>
          <w:rFonts w:ascii="Arial" w:hAnsi="Arial" w:cs="Arial"/>
          <w:color w:val="000000" w:themeColor="text1"/>
          <w:sz w:val="24"/>
          <w:szCs w:val="24"/>
        </w:rPr>
        <w:t xml:space="preserve"> </w:t>
      </w:r>
      <w:r w:rsidRPr="00007910">
        <w:rPr>
          <w:rFonts w:ascii="Arial" w:hAnsi="Arial" w:cs="Arial"/>
          <w:color w:val="000000" w:themeColor="text1"/>
          <w:sz w:val="24"/>
          <w:szCs w:val="24"/>
        </w:rPr>
        <w:t>substation level, or system-wide) and any expected changes in load forecasting</w:t>
      </w:r>
      <w:r w:rsidR="00A75E2F">
        <w:rPr>
          <w:rFonts w:ascii="Arial" w:hAnsi="Arial" w:cs="Arial"/>
          <w:color w:val="000000" w:themeColor="text1"/>
          <w:sz w:val="24"/>
          <w:szCs w:val="24"/>
        </w:rPr>
        <w:t xml:space="preserve"> </w:t>
      </w:r>
      <w:r w:rsidRPr="00007910">
        <w:rPr>
          <w:rFonts w:ascii="Arial" w:hAnsi="Arial" w:cs="Arial"/>
          <w:color w:val="000000" w:themeColor="text1"/>
          <w:sz w:val="24"/>
          <w:szCs w:val="24"/>
        </w:rPr>
        <w:t>methodology</w:t>
      </w:r>
      <w:r w:rsidR="00A75E2F">
        <w:rPr>
          <w:rFonts w:ascii="Arial" w:hAnsi="Arial" w:cs="Arial"/>
          <w:color w:val="000000" w:themeColor="text1"/>
          <w:sz w:val="24"/>
          <w:szCs w:val="24"/>
        </w:rPr>
        <w:t>.</w:t>
      </w:r>
    </w:p>
    <w:p w:rsidRPr="00007910" w:rsidR="00AD5600" w:rsidP="00A7561E" w:rsidRDefault="00521244" w14:paraId="29E520C8" w14:textId="2DE92EBF">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Discussion if and how the Institute of Electrical and Electronics Engineers (IEEE)</w:t>
      </w:r>
      <w:r w:rsidRPr="00007910" w:rsidR="004112A4">
        <w:rPr>
          <w:rFonts w:ascii="Arial" w:hAnsi="Arial" w:cs="Arial"/>
        </w:rPr>
        <w:t xml:space="preserve"> </w:t>
      </w:r>
      <w:r w:rsidRPr="00007910">
        <w:rPr>
          <w:rFonts w:ascii="Arial" w:hAnsi="Arial" w:cs="Arial"/>
          <w:color w:val="000000" w:themeColor="text1"/>
          <w:sz w:val="24"/>
          <w:szCs w:val="24"/>
        </w:rPr>
        <w:t>Std. 1547-2018 impacts distribution system planning considerations (e.g.</w:t>
      </w:r>
      <w:r w:rsidRPr="00007910" w:rsidR="004112A4">
        <w:rPr>
          <w:rFonts w:ascii="Arial" w:hAnsi="Arial" w:cs="Arial"/>
        </w:rPr>
        <w:t xml:space="preserve"> </w:t>
      </w:r>
      <w:r w:rsidRPr="00007910">
        <w:rPr>
          <w:rFonts w:ascii="Arial" w:hAnsi="Arial" w:cs="Arial"/>
          <w:color w:val="000000" w:themeColor="text1"/>
          <w:sz w:val="24"/>
          <w:szCs w:val="24"/>
        </w:rPr>
        <w:t>opportunities and constraints related to interoperability)</w:t>
      </w:r>
      <w:r w:rsidR="00A75E2F">
        <w:rPr>
          <w:rFonts w:ascii="Arial" w:hAnsi="Arial" w:cs="Arial"/>
          <w:color w:val="000000" w:themeColor="text1"/>
          <w:sz w:val="24"/>
          <w:szCs w:val="24"/>
        </w:rPr>
        <w:t>.</w:t>
      </w:r>
    </w:p>
    <w:p w:rsidRPr="00007910" w:rsidR="00AD5600" w:rsidP="00A7561E" w:rsidRDefault="00521244" w14:paraId="17E268FB" w14:textId="30CAC196">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Distribution system annual loss percentage for the prior year (system-wide and by circuit)</w:t>
      </w:r>
      <w:r w:rsidR="00A75E2F">
        <w:rPr>
          <w:rFonts w:ascii="Arial" w:hAnsi="Arial" w:cs="Arial"/>
          <w:color w:val="000000" w:themeColor="text1"/>
          <w:sz w:val="24"/>
          <w:szCs w:val="24"/>
        </w:rPr>
        <w:t>.</w:t>
      </w:r>
    </w:p>
    <w:p w:rsidRPr="00007910" w:rsidR="00AD5600" w:rsidP="00A7561E" w:rsidRDefault="00521244" w14:paraId="214D7F0F" w14:textId="4A9441BF">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The maximum hourly coincident monthly load, in kilo-volt-ampere (kVA), for the</w:t>
      </w:r>
      <w:r w:rsidR="00A75E2F">
        <w:rPr>
          <w:rFonts w:ascii="Arial" w:hAnsi="Arial" w:cs="Arial"/>
          <w:color w:val="000000" w:themeColor="text1"/>
          <w:sz w:val="24"/>
          <w:szCs w:val="24"/>
        </w:rPr>
        <w:t xml:space="preserve"> </w:t>
      </w:r>
      <w:r w:rsidRPr="00007910">
        <w:rPr>
          <w:rFonts w:ascii="Arial" w:hAnsi="Arial" w:cs="Arial"/>
          <w:color w:val="000000" w:themeColor="text1"/>
          <w:sz w:val="24"/>
          <w:szCs w:val="24"/>
        </w:rPr>
        <w:t>distribution system, in the past 12 months, as measured at the interface between the</w:t>
      </w:r>
      <w:r w:rsidRPr="00007910" w:rsidR="00AD5600">
        <w:rPr>
          <w:rFonts w:ascii="Arial" w:hAnsi="Arial" w:cs="Arial"/>
          <w:color w:val="000000" w:themeColor="text1"/>
          <w:sz w:val="24"/>
          <w:szCs w:val="24"/>
        </w:rPr>
        <w:t xml:space="preserve"> </w:t>
      </w:r>
      <w:r w:rsidRPr="00007910">
        <w:rPr>
          <w:rFonts w:ascii="Arial" w:hAnsi="Arial" w:cs="Arial"/>
          <w:color w:val="000000" w:themeColor="text1"/>
          <w:sz w:val="24"/>
          <w:szCs w:val="24"/>
        </w:rPr>
        <w:t>transmission and distribution system. Indicate if calculated using SCADA data or</w:t>
      </w:r>
      <w:r w:rsidR="00A75E2F">
        <w:rPr>
          <w:rFonts w:ascii="Arial" w:hAnsi="Arial" w:cs="Arial"/>
          <w:color w:val="000000" w:themeColor="text1"/>
          <w:sz w:val="24"/>
          <w:szCs w:val="24"/>
        </w:rPr>
        <w:t xml:space="preserve"> </w:t>
      </w:r>
      <w:r w:rsidRPr="00007910">
        <w:rPr>
          <w:rFonts w:ascii="Arial" w:hAnsi="Arial" w:cs="Arial"/>
          <w:color w:val="000000" w:themeColor="text1"/>
          <w:sz w:val="24"/>
          <w:szCs w:val="24"/>
        </w:rPr>
        <w:t>interval metered data or other non-billing metering / monitoring systems</w:t>
      </w:r>
      <w:r w:rsidR="00A75E2F">
        <w:rPr>
          <w:rFonts w:ascii="Arial" w:hAnsi="Arial" w:cs="Arial"/>
          <w:color w:val="000000" w:themeColor="text1"/>
          <w:sz w:val="24"/>
          <w:szCs w:val="24"/>
        </w:rPr>
        <w:t>.</w:t>
      </w:r>
    </w:p>
    <w:p w:rsidRPr="00007910" w:rsidR="00AD5600" w:rsidP="00A7561E" w:rsidRDefault="00521244" w14:paraId="5AAAE84A" w14:textId="12957847">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Total distribution/sub-transmission substation transformer nameplate in kVA</w:t>
      </w:r>
      <w:r w:rsidR="00A75E2F">
        <w:rPr>
          <w:rFonts w:ascii="Arial" w:hAnsi="Arial" w:cs="Arial"/>
          <w:color w:val="000000" w:themeColor="text1"/>
          <w:sz w:val="24"/>
          <w:szCs w:val="24"/>
        </w:rPr>
        <w:t>.</w:t>
      </w:r>
    </w:p>
    <w:p w:rsidRPr="00007910" w:rsidR="00AD5600" w:rsidP="00521244" w:rsidRDefault="00521244" w14:paraId="36E3BC66" w14:textId="78AA00B0">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Total distribution/sub-transmission line transformer nameplate in kVA (do not</w:t>
      </w:r>
      <w:r w:rsidRPr="00007910">
        <w:rPr>
          <w:rFonts w:ascii="Arial" w:hAnsi="Arial" w:cs="Arial"/>
        </w:rPr>
        <w:br/>
      </w:r>
      <w:r w:rsidRPr="00007910">
        <w:rPr>
          <w:rFonts w:ascii="Arial" w:hAnsi="Arial" w:cs="Arial"/>
          <w:color w:val="000000" w:themeColor="text1"/>
          <w:sz w:val="24"/>
          <w:szCs w:val="24"/>
        </w:rPr>
        <w:t>include capacity stated in Item 14)</w:t>
      </w:r>
      <w:r w:rsidR="00A75E2F">
        <w:rPr>
          <w:rFonts w:ascii="Arial" w:hAnsi="Arial" w:cs="Arial"/>
          <w:color w:val="000000" w:themeColor="text1"/>
          <w:sz w:val="24"/>
          <w:szCs w:val="24"/>
        </w:rPr>
        <w:t>.</w:t>
      </w:r>
    </w:p>
    <w:p w:rsidRPr="00007910" w:rsidR="00AD5600" w:rsidP="00521244" w:rsidRDefault="00521244" w14:paraId="4FB19AB2" w14:textId="77777777">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lastRenderedPageBreak/>
        <w:t>List and map of distribution substation transformers (which feed only distribution level</w:t>
      </w:r>
      <w:r w:rsidRPr="00007910" w:rsidR="00AD5600">
        <w:rPr>
          <w:rFonts w:ascii="Arial" w:hAnsi="Arial" w:cs="Arial"/>
          <w:color w:val="000000" w:themeColor="text1"/>
          <w:sz w:val="24"/>
          <w:szCs w:val="24"/>
        </w:rPr>
        <w:t xml:space="preserve"> </w:t>
      </w:r>
      <w:r w:rsidRPr="00007910">
        <w:rPr>
          <w:rFonts w:ascii="Arial" w:hAnsi="Arial" w:cs="Arial"/>
          <w:color w:val="000000" w:themeColor="text1"/>
          <w:sz w:val="24"/>
          <w:szCs w:val="24"/>
        </w:rPr>
        <w:t>customers) that are:</w:t>
      </w:r>
    </w:p>
    <w:p w:rsidRPr="00007910" w:rsidR="00AD5600" w:rsidP="00AD5600" w:rsidRDefault="00521244" w14:paraId="71F0CF55"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90-100% within their normal rating</w:t>
      </w:r>
    </w:p>
    <w:p w:rsidRPr="00007910" w:rsidR="00AD5600" w:rsidP="00AD5600" w:rsidRDefault="00521244" w14:paraId="2B120752"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80-90% within their normal rating</w:t>
      </w:r>
    </w:p>
    <w:p w:rsidRPr="00007910" w:rsidR="00AD5600" w:rsidP="00AD5600" w:rsidRDefault="00521244" w14:paraId="4E0BC81F"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Less than 80% of their normal rating</w:t>
      </w:r>
    </w:p>
    <w:p w:rsidRPr="00007910" w:rsidR="00AD5600" w:rsidP="00AD5600" w:rsidRDefault="00521244" w14:paraId="3984C439" w14:textId="77777777">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List and map of sub-transmission substation transformers (whose circuits feed only the</w:t>
      </w:r>
      <w:r w:rsidRPr="00007910" w:rsidR="00AD5600">
        <w:rPr>
          <w:rFonts w:ascii="Arial" w:hAnsi="Arial" w:cs="Arial"/>
        </w:rPr>
        <w:t xml:space="preserve"> </w:t>
      </w:r>
      <w:r w:rsidRPr="00007910">
        <w:rPr>
          <w:rFonts w:ascii="Arial" w:hAnsi="Arial" w:cs="Arial"/>
          <w:color w:val="000000" w:themeColor="text1"/>
          <w:sz w:val="24"/>
          <w:szCs w:val="24"/>
        </w:rPr>
        <w:t>high side of another distribution substation) that are:</w:t>
      </w:r>
    </w:p>
    <w:p w:rsidRPr="00007910" w:rsidR="00AD5600" w:rsidP="00AD5600" w:rsidRDefault="00521244" w14:paraId="2ED2BBF1"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90-100% within their normal rating</w:t>
      </w:r>
    </w:p>
    <w:p w:rsidRPr="00007910" w:rsidR="00AD5600" w:rsidP="00AD5600" w:rsidRDefault="00521244" w14:paraId="4A194141"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80-90% within their normal rating</w:t>
      </w:r>
    </w:p>
    <w:p w:rsidRPr="00007910" w:rsidR="00AD5600" w:rsidP="00AD5600" w:rsidRDefault="00521244" w14:paraId="65F075C8"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Less than 80% of their normal rating</w:t>
      </w:r>
    </w:p>
    <w:p w:rsidRPr="00007910" w:rsidR="00AD5600" w:rsidP="00AD5600" w:rsidRDefault="73A448AE" w14:paraId="2893FE25" w14:textId="011380DD">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 xml:space="preserve">A list of all distribution feeders broken down </w:t>
      </w:r>
      <w:r w:rsidRPr="00007910" w:rsidR="66CC1113">
        <w:rPr>
          <w:rFonts w:ascii="Arial" w:hAnsi="Arial" w:cs="Arial"/>
          <w:color w:val="000000" w:themeColor="text1"/>
          <w:sz w:val="24"/>
          <w:szCs w:val="24"/>
        </w:rPr>
        <w:t>by</w:t>
      </w:r>
      <w:r w:rsidRPr="00007910" w:rsidR="00521244">
        <w:rPr>
          <w:rFonts w:ascii="Arial" w:hAnsi="Arial" w:cs="Arial"/>
          <w:color w:val="000000" w:themeColor="text1"/>
          <w:sz w:val="24"/>
          <w:szCs w:val="24"/>
        </w:rPr>
        <w:t xml:space="preserve"> distribution feeders that are:</w:t>
      </w:r>
    </w:p>
    <w:p w:rsidRPr="00007910" w:rsidR="00AD5600" w:rsidP="00AD5600" w:rsidRDefault="00521244" w14:paraId="0536EFCB"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90-100% within their normal rating</w:t>
      </w:r>
    </w:p>
    <w:p w:rsidRPr="00007910" w:rsidR="00AD5600" w:rsidP="00AD5600" w:rsidRDefault="00521244" w14:paraId="41C1B600"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80-90% within their normal rating</w:t>
      </w:r>
    </w:p>
    <w:p w:rsidRPr="00007910" w:rsidR="00AD5600" w:rsidP="00AD5600" w:rsidRDefault="00521244" w14:paraId="4AF71D43"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Less than 80% of their normal rating</w:t>
      </w:r>
    </w:p>
    <w:p w:rsidRPr="00007910" w:rsidR="00AD5600" w:rsidP="00AD5600" w:rsidRDefault="6B8BCE53" w14:paraId="6DE2B956" w14:textId="64434313">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A list of all</w:t>
      </w:r>
      <w:r w:rsidRPr="00007910" w:rsidR="00521244">
        <w:rPr>
          <w:rFonts w:ascii="Arial" w:hAnsi="Arial" w:cs="Arial"/>
          <w:color w:val="000000" w:themeColor="text1"/>
          <w:sz w:val="24"/>
          <w:szCs w:val="24"/>
        </w:rPr>
        <w:t xml:space="preserve"> sub-transmission feeders </w:t>
      </w:r>
      <w:r w:rsidRPr="00007910" w:rsidR="5EB078F8">
        <w:rPr>
          <w:rFonts w:ascii="Arial" w:hAnsi="Arial" w:cs="Arial"/>
          <w:color w:val="000000" w:themeColor="text1"/>
          <w:sz w:val="24"/>
          <w:szCs w:val="24"/>
        </w:rPr>
        <w:t>broken down by sub</w:t>
      </w:r>
      <w:r w:rsidRPr="00007910" w:rsidR="00051B4D">
        <w:rPr>
          <w:rFonts w:ascii="Arial" w:hAnsi="Arial" w:cs="Arial"/>
          <w:color w:val="000000" w:themeColor="text1"/>
          <w:sz w:val="24"/>
          <w:szCs w:val="24"/>
        </w:rPr>
        <w:t>-</w:t>
      </w:r>
      <w:r w:rsidRPr="00007910" w:rsidR="5EB078F8">
        <w:rPr>
          <w:rFonts w:ascii="Arial" w:hAnsi="Arial" w:cs="Arial"/>
          <w:color w:val="000000" w:themeColor="text1"/>
          <w:sz w:val="24"/>
          <w:szCs w:val="24"/>
        </w:rPr>
        <w:t xml:space="preserve">transmission feeders </w:t>
      </w:r>
      <w:r w:rsidRPr="00007910" w:rsidR="00521244">
        <w:rPr>
          <w:rFonts w:ascii="Arial" w:hAnsi="Arial" w:cs="Arial"/>
          <w:color w:val="000000" w:themeColor="text1"/>
          <w:sz w:val="24"/>
          <w:szCs w:val="24"/>
        </w:rPr>
        <w:t>that are:</w:t>
      </w:r>
    </w:p>
    <w:p w:rsidRPr="00007910" w:rsidR="00AD5600" w:rsidP="00AD5600" w:rsidRDefault="00521244" w14:paraId="1B9471D5"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90-100% within their normal rating</w:t>
      </w:r>
    </w:p>
    <w:p w:rsidRPr="00007910" w:rsidR="00AD5600" w:rsidP="00AD5600" w:rsidRDefault="00521244" w14:paraId="08C1DF35"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80-90% within their normal rating</w:t>
      </w:r>
    </w:p>
    <w:p w:rsidRPr="00007910" w:rsidR="00AD5600" w:rsidP="00AD5600" w:rsidRDefault="00521244" w14:paraId="368795B9"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Less than 80% of their normal rating</w:t>
      </w:r>
    </w:p>
    <w:p w:rsidRPr="00007910" w:rsidR="00AD5600" w:rsidP="00AD5600" w:rsidRDefault="00521244" w14:paraId="3851CAE3" w14:textId="77777777">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Total miles of overhead distribution wire:</w:t>
      </w:r>
    </w:p>
    <w:p w:rsidRPr="00007910" w:rsidR="00AD5600" w:rsidP="00AD5600" w:rsidRDefault="00521244" w14:paraId="16ACC5EB"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 xml:space="preserve">Three </w:t>
      </w:r>
      <w:proofErr w:type="gramStart"/>
      <w:r w:rsidRPr="00007910">
        <w:rPr>
          <w:rFonts w:ascii="Arial" w:hAnsi="Arial" w:cs="Arial"/>
          <w:color w:val="000000" w:themeColor="text1"/>
          <w:sz w:val="24"/>
          <w:szCs w:val="24"/>
        </w:rPr>
        <w:t>phase</w:t>
      </w:r>
      <w:proofErr w:type="gramEnd"/>
    </w:p>
    <w:p w:rsidRPr="00007910" w:rsidR="00AD5600" w:rsidP="00AD5600" w:rsidRDefault="00521244" w14:paraId="4CE2A903"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 xml:space="preserve">Single phase or two </w:t>
      </w:r>
      <w:proofErr w:type="gramStart"/>
      <w:r w:rsidRPr="00007910">
        <w:rPr>
          <w:rFonts w:ascii="Arial" w:hAnsi="Arial" w:cs="Arial"/>
          <w:color w:val="000000" w:themeColor="text1"/>
          <w:sz w:val="24"/>
          <w:szCs w:val="24"/>
        </w:rPr>
        <w:t>phase</w:t>
      </w:r>
      <w:proofErr w:type="gramEnd"/>
    </w:p>
    <w:p w:rsidRPr="00007910" w:rsidR="00AD5600" w:rsidP="00AD5600" w:rsidRDefault="00521244" w14:paraId="619655E6" w14:textId="1316302A">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Total miles of underground distribution wire</w:t>
      </w:r>
      <w:r w:rsidRPr="00007910" w:rsidR="00051B4D">
        <w:rPr>
          <w:rFonts w:ascii="Arial" w:hAnsi="Arial" w:cs="Arial"/>
          <w:color w:val="000000" w:themeColor="text1"/>
          <w:sz w:val="24"/>
          <w:szCs w:val="24"/>
        </w:rPr>
        <w:t>:</w:t>
      </w:r>
    </w:p>
    <w:p w:rsidRPr="00007910" w:rsidR="00AD5600" w:rsidP="00AD5600" w:rsidRDefault="00521244" w14:paraId="0D943939"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 xml:space="preserve">Three </w:t>
      </w:r>
      <w:proofErr w:type="gramStart"/>
      <w:r w:rsidRPr="00007910">
        <w:rPr>
          <w:rFonts w:ascii="Arial" w:hAnsi="Arial" w:cs="Arial"/>
          <w:color w:val="000000" w:themeColor="text1"/>
          <w:sz w:val="24"/>
          <w:szCs w:val="24"/>
        </w:rPr>
        <w:t>phase</w:t>
      </w:r>
      <w:proofErr w:type="gramEnd"/>
    </w:p>
    <w:p w:rsidRPr="00007910" w:rsidR="00AD5600" w:rsidP="00AD5600" w:rsidRDefault="00521244" w14:paraId="37C6873B"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 xml:space="preserve">Single phase or two </w:t>
      </w:r>
      <w:proofErr w:type="gramStart"/>
      <w:r w:rsidRPr="00007910">
        <w:rPr>
          <w:rFonts w:ascii="Arial" w:hAnsi="Arial" w:cs="Arial"/>
          <w:color w:val="000000" w:themeColor="text1"/>
          <w:sz w:val="24"/>
          <w:szCs w:val="24"/>
        </w:rPr>
        <w:t>phase</w:t>
      </w:r>
      <w:proofErr w:type="gramEnd"/>
    </w:p>
    <w:p w:rsidRPr="00007910" w:rsidR="00AD5600" w:rsidP="00AD5600" w:rsidRDefault="00521244" w14:paraId="21B4F20F" w14:textId="7045D7FA">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Total number of distribution customers</w:t>
      </w:r>
      <w:r w:rsidRPr="00007910" w:rsidR="00051B4D">
        <w:rPr>
          <w:rFonts w:ascii="Arial" w:hAnsi="Arial" w:cs="Arial"/>
          <w:color w:val="000000" w:themeColor="text1"/>
          <w:sz w:val="24"/>
          <w:szCs w:val="24"/>
        </w:rPr>
        <w:t>:</w:t>
      </w:r>
    </w:p>
    <w:p w:rsidRPr="00007910" w:rsidR="00AD5600" w:rsidP="00AD5600" w:rsidRDefault="00521244" w14:paraId="22B5B989"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Distribution Feeder customers</w:t>
      </w:r>
    </w:p>
    <w:p w:rsidRPr="00007910" w:rsidR="00AD5600" w:rsidP="00AD5600" w:rsidRDefault="00521244" w14:paraId="71E70CD3" w14:textId="77777777">
      <w:pPr>
        <w:pStyle w:val="ListParagraph"/>
        <w:numPr>
          <w:ilvl w:val="1"/>
          <w:numId w:val="39"/>
        </w:numPr>
        <w:rPr>
          <w:rFonts w:ascii="Arial" w:hAnsi="Arial" w:cs="Arial"/>
          <w:color w:val="000000"/>
          <w:sz w:val="24"/>
          <w:szCs w:val="24"/>
        </w:rPr>
      </w:pPr>
      <w:r w:rsidRPr="00007910">
        <w:rPr>
          <w:rFonts w:ascii="Arial" w:hAnsi="Arial" w:cs="Arial"/>
          <w:color w:val="000000" w:themeColor="text1"/>
          <w:sz w:val="24"/>
          <w:szCs w:val="24"/>
        </w:rPr>
        <w:t>Primary meter customers</w:t>
      </w:r>
    </w:p>
    <w:p w:rsidRPr="00007910" w:rsidR="00051B4D" w:rsidP="00AD5600" w:rsidRDefault="00521244" w14:paraId="2D2142BC" w14:textId="666190E1">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Utility-wide System Average Interruption Duration Index (SAIDI), System Average</w:t>
      </w:r>
      <w:r w:rsidR="00A75E2F">
        <w:rPr>
          <w:rFonts w:ascii="Arial" w:hAnsi="Arial" w:cs="Arial"/>
          <w:color w:val="000000" w:themeColor="text1"/>
          <w:sz w:val="24"/>
          <w:szCs w:val="24"/>
        </w:rPr>
        <w:t xml:space="preserve"> </w:t>
      </w:r>
      <w:r w:rsidRPr="00007910">
        <w:rPr>
          <w:rFonts w:ascii="Arial" w:hAnsi="Arial" w:cs="Arial"/>
          <w:color w:val="000000" w:themeColor="text1"/>
          <w:sz w:val="24"/>
          <w:szCs w:val="24"/>
        </w:rPr>
        <w:t>Interruption Frequency Index (SAIFI), Customer Average Interruption Duration</w:t>
      </w:r>
      <w:r w:rsidR="00A75E2F">
        <w:rPr>
          <w:rFonts w:ascii="Arial" w:hAnsi="Arial" w:cs="Arial"/>
          <w:color w:val="000000" w:themeColor="text1"/>
          <w:sz w:val="24"/>
          <w:szCs w:val="24"/>
        </w:rPr>
        <w:t xml:space="preserve"> </w:t>
      </w:r>
      <w:r w:rsidRPr="00007910">
        <w:rPr>
          <w:rFonts w:ascii="Arial" w:hAnsi="Arial" w:cs="Arial"/>
          <w:color w:val="000000" w:themeColor="text1"/>
          <w:sz w:val="24"/>
          <w:szCs w:val="24"/>
        </w:rPr>
        <w:t>Index (CAIDI), Customers Interrupted per Interruption (CIII) (IEEE) for the past</w:t>
      </w:r>
      <w:r w:rsidR="00A75E2F">
        <w:rPr>
          <w:rFonts w:ascii="Arial" w:hAnsi="Arial" w:cs="Arial"/>
          <w:color w:val="000000" w:themeColor="text1"/>
          <w:sz w:val="24"/>
          <w:szCs w:val="24"/>
        </w:rPr>
        <w:t xml:space="preserve"> </w:t>
      </w:r>
      <w:r w:rsidRPr="00007910">
        <w:rPr>
          <w:rFonts w:ascii="Arial" w:hAnsi="Arial" w:cs="Arial"/>
          <w:color w:val="000000" w:themeColor="text1"/>
          <w:sz w:val="24"/>
          <w:szCs w:val="24"/>
        </w:rPr>
        <w:t>three years</w:t>
      </w:r>
      <w:r w:rsidR="00A75E2F">
        <w:rPr>
          <w:rFonts w:ascii="Arial" w:hAnsi="Arial" w:cs="Arial"/>
          <w:color w:val="000000" w:themeColor="text1"/>
          <w:sz w:val="24"/>
          <w:szCs w:val="24"/>
        </w:rPr>
        <w:t>.</w:t>
      </w:r>
    </w:p>
    <w:p w:rsidRPr="00A75E2F" w:rsidR="00A75E2F" w:rsidP="00A75E2F" w:rsidRDefault="00521244" w14:paraId="5170F283" w14:textId="1C0B2454">
      <w:pPr>
        <w:pStyle w:val="ListParagraph"/>
        <w:numPr>
          <w:ilvl w:val="0"/>
          <w:numId w:val="39"/>
        </w:numPr>
        <w:rPr>
          <w:rFonts w:ascii="Arial" w:hAnsi="Arial" w:cs="Arial"/>
          <w:color w:val="000000"/>
          <w:sz w:val="24"/>
          <w:szCs w:val="24"/>
        </w:rPr>
      </w:pPr>
      <w:r w:rsidRPr="00A75E2F">
        <w:rPr>
          <w:rFonts w:ascii="Arial" w:hAnsi="Arial" w:cs="Arial"/>
          <w:color w:val="000000" w:themeColor="text1"/>
          <w:sz w:val="24"/>
          <w:szCs w:val="24"/>
        </w:rPr>
        <w:t>Ranking of circuits by contribution to SAIDI and SAIFI (IEEE) for the past three</w:t>
      </w:r>
      <w:r w:rsidRPr="00A75E2F" w:rsidR="00A75E2F">
        <w:rPr>
          <w:rFonts w:ascii="Arial" w:hAnsi="Arial" w:cs="Arial"/>
          <w:color w:val="000000" w:themeColor="text1"/>
          <w:sz w:val="24"/>
          <w:szCs w:val="24"/>
        </w:rPr>
        <w:t xml:space="preserve"> </w:t>
      </w:r>
      <w:r w:rsidRPr="00A75E2F">
        <w:rPr>
          <w:rFonts w:ascii="Arial" w:hAnsi="Arial" w:cs="Arial"/>
          <w:color w:val="000000" w:themeColor="text1"/>
          <w:sz w:val="24"/>
          <w:szCs w:val="24"/>
        </w:rPr>
        <w:t>years</w:t>
      </w:r>
      <w:r w:rsidR="00A75E2F">
        <w:rPr>
          <w:rFonts w:ascii="Arial" w:hAnsi="Arial" w:cs="Arial"/>
          <w:color w:val="000000" w:themeColor="text1"/>
          <w:sz w:val="24"/>
          <w:szCs w:val="24"/>
        </w:rPr>
        <w:t>.</w:t>
      </w:r>
    </w:p>
    <w:p w:rsidRPr="00A75E2F" w:rsidR="00051B4D" w:rsidP="00A75E2F" w:rsidRDefault="00521244" w14:paraId="6B998C1E" w14:textId="5C120F44">
      <w:pPr>
        <w:pStyle w:val="ListParagraph"/>
        <w:numPr>
          <w:ilvl w:val="0"/>
          <w:numId w:val="39"/>
        </w:numPr>
        <w:rPr>
          <w:rFonts w:ascii="Arial" w:hAnsi="Arial" w:cs="Arial"/>
          <w:color w:val="000000"/>
          <w:sz w:val="24"/>
          <w:szCs w:val="24"/>
        </w:rPr>
      </w:pPr>
      <w:r w:rsidRPr="00A75E2F">
        <w:rPr>
          <w:rFonts w:ascii="Arial" w:hAnsi="Arial" w:cs="Arial"/>
          <w:color w:val="000000" w:themeColor="text1"/>
          <w:sz w:val="24"/>
          <w:szCs w:val="24"/>
        </w:rPr>
        <w:t>Information regarding any existing Conservation Voltage applications. (e.g. used to</w:t>
      </w:r>
      <w:r w:rsidRPr="00A75E2F" w:rsidR="00A75E2F">
        <w:rPr>
          <w:rFonts w:ascii="Arial" w:hAnsi="Arial" w:cs="Arial"/>
          <w:color w:val="000000" w:themeColor="text1"/>
          <w:sz w:val="24"/>
          <w:szCs w:val="24"/>
        </w:rPr>
        <w:t xml:space="preserve"> </w:t>
      </w:r>
      <w:r w:rsidRPr="00A75E2F">
        <w:rPr>
          <w:rFonts w:ascii="Arial" w:hAnsi="Arial" w:cs="Arial"/>
          <w:color w:val="000000" w:themeColor="text1"/>
          <w:sz w:val="24"/>
          <w:szCs w:val="24"/>
        </w:rPr>
        <w:t>limit only peak loading, or for continuous management of voltage levels across the</w:t>
      </w:r>
      <w:r w:rsidRPr="00A75E2F" w:rsidR="00A75E2F">
        <w:rPr>
          <w:rFonts w:ascii="Arial" w:hAnsi="Arial" w:cs="Arial"/>
          <w:color w:val="000000" w:themeColor="text1"/>
          <w:sz w:val="24"/>
          <w:szCs w:val="24"/>
        </w:rPr>
        <w:t xml:space="preserve"> </w:t>
      </w:r>
      <w:r w:rsidRPr="00A75E2F">
        <w:rPr>
          <w:rFonts w:ascii="Arial" w:hAnsi="Arial" w:cs="Arial"/>
          <w:color w:val="000000" w:themeColor="text1"/>
          <w:sz w:val="24"/>
          <w:szCs w:val="24"/>
        </w:rPr>
        <w:t>application area)</w:t>
      </w:r>
      <w:r w:rsidRPr="00A75E2F" w:rsidR="00A75E2F">
        <w:rPr>
          <w:rFonts w:ascii="Arial" w:hAnsi="Arial" w:cs="Arial"/>
          <w:color w:val="000000" w:themeColor="text1"/>
          <w:sz w:val="24"/>
          <w:szCs w:val="24"/>
        </w:rPr>
        <w:t>.</w:t>
      </w:r>
    </w:p>
    <w:p w:rsidRPr="00007910" w:rsidR="00051B4D" w:rsidP="00AD5600" w:rsidRDefault="00521244" w14:paraId="04BCDA77" w14:textId="5C485885">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Number of separately metered electric vehicle charging systems added to the</w:t>
      </w:r>
      <w:r w:rsidRPr="00007910" w:rsidR="00051B4D">
        <w:rPr>
          <w:rFonts w:ascii="Arial" w:hAnsi="Arial" w:cs="Arial"/>
        </w:rPr>
        <w:t xml:space="preserve"> </w:t>
      </w:r>
      <w:r w:rsidRPr="00007910">
        <w:rPr>
          <w:rFonts w:ascii="Arial" w:hAnsi="Arial" w:cs="Arial"/>
          <w:color w:val="000000" w:themeColor="text1"/>
          <w:sz w:val="24"/>
          <w:szCs w:val="24"/>
        </w:rPr>
        <w:t>Company's distribution system over each of the past three years</w:t>
      </w:r>
      <w:r w:rsidR="00A75E2F">
        <w:rPr>
          <w:rFonts w:ascii="Arial" w:hAnsi="Arial" w:cs="Arial"/>
          <w:color w:val="000000" w:themeColor="text1"/>
          <w:sz w:val="24"/>
          <w:szCs w:val="24"/>
        </w:rPr>
        <w:t>.</w:t>
      </w:r>
    </w:p>
    <w:p w:rsidRPr="00007910" w:rsidR="00521244" w:rsidP="00AD5600" w:rsidRDefault="00521244" w14:paraId="1DE44843" w14:textId="3A292CFE">
      <w:pPr>
        <w:pStyle w:val="ListParagraph"/>
        <w:numPr>
          <w:ilvl w:val="0"/>
          <w:numId w:val="39"/>
        </w:numPr>
        <w:rPr>
          <w:rFonts w:ascii="Arial" w:hAnsi="Arial" w:cs="Arial"/>
          <w:color w:val="000000"/>
          <w:sz w:val="24"/>
          <w:szCs w:val="24"/>
        </w:rPr>
      </w:pPr>
      <w:r w:rsidRPr="00007910">
        <w:rPr>
          <w:rFonts w:ascii="Arial" w:hAnsi="Arial" w:cs="Arial"/>
          <w:color w:val="000000" w:themeColor="text1"/>
          <w:sz w:val="24"/>
          <w:szCs w:val="24"/>
        </w:rPr>
        <w:t xml:space="preserve">Number of electric </w:t>
      </w:r>
      <w:proofErr w:type="gramStart"/>
      <w:r w:rsidRPr="00007910">
        <w:rPr>
          <w:rFonts w:ascii="Arial" w:hAnsi="Arial" w:cs="Arial"/>
          <w:color w:val="000000" w:themeColor="text1"/>
          <w:sz w:val="24"/>
          <w:szCs w:val="24"/>
        </w:rPr>
        <w:t>vehicle</w:t>
      </w:r>
      <w:proofErr w:type="gramEnd"/>
      <w:r w:rsidRPr="00007910">
        <w:rPr>
          <w:rFonts w:ascii="Arial" w:hAnsi="Arial" w:cs="Arial"/>
          <w:color w:val="000000" w:themeColor="text1"/>
          <w:sz w:val="24"/>
          <w:szCs w:val="24"/>
        </w:rPr>
        <w:t xml:space="preserve"> charging systems currently forecasted to be installed in the</w:t>
      </w:r>
      <w:r w:rsidRPr="00007910" w:rsidR="00051B4D">
        <w:rPr>
          <w:rFonts w:ascii="Arial" w:hAnsi="Arial" w:cs="Arial"/>
          <w:color w:val="000000" w:themeColor="text1"/>
          <w:sz w:val="24"/>
          <w:szCs w:val="24"/>
        </w:rPr>
        <w:t xml:space="preserve"> </w:t>
      </w:r>
      <w:r w:rsidRPr="00007910">
        <w:rPr>
          <w:rFonts w:ascii="Arial" w:hAnsi="Arial" w:cs="Arial"/>
          <w:color w:val="000000" w:themeColor="text1"/>
          <w:sz w:val="24"/>
          <w:szCs w:val="24"/>
        </w:rPr>
        <w:t>next three to five years</w:t>
      </w:r>
      <w:r w:rsidR="00A75E2F">
        <w:rPr>
          <w:rFonts w:ascii="Arial" w:hAnsi="Arial" w:cs="Arial"/>
          <w:color w:val="000000" w:themeColor="text1"/>
          <w:sz w:val="24"/>
          <w:szCs w:val="24"/>
        </w:rPr>
        <w:t>.</w:t>
      </w:r>
    </w:p>
    <w:p w:rsidR="00A75E2F" w:rsidRDefault="00A75E2F" w14:paraId="5924EB1F" w14:textId="77777777">
      <w:pPr>
        <w:rPr>
          <w:rFonts w:ascii="Arial" w:hAnsi="Arial" w:cs="Arial"/>
          <w:b/>
          <w:bCs/>
          <w:color w:val="000000" w:themeColor="text1"/>
          <w:sz w:val="24"/>
          <w:szCs w:val="24"/>
        </w:rPr>
      </w:pPr>
      <w:r>
        <w:rPr>
          <w:rFonts w:ascii="Arial" w:hAnsi="Arial" w:cs="Arial"/>
          <w:b/>
          <w:bCs/>
          <w:color w:val="000000" w:themeColor="text1"/>
          <w:sz w:val="24"/>
          <w:szCs w:val="24"/>
        </w:rPr>
        <w:br w:type="page"/>
      </w:r>
    </w:p>
    <w:p w:rsidRPr="00007910" w:rsidR="00B7129D" w:rsidP="00521244" w:rsidRDefault="00521244" w14:paraId="4275309C" w14:textId="15CF9F74">
      <w:pPr>
        <w:rPr>
          <w:rFonts w:ascii="Arial" w:hAnsi="Arial" w:cs="Arial"/>
          <w:color w:val="000000" w:themeColor="text1"/>
          <w:sz w:val="24"/>
          <w:szCs w:val="24"/>
        </w:rPr>
      </w:pPr>
      <w:r w:rsidRPr="00007910">
        <w:rPr>
          <w:rFonts w:ascii="Arial" w:hAnsi="Arial" w:cs="Arial"/>
          <w:b/>
          <w:bCs/>
          <w:color w:val="000000" w:themeColor="text1"/>
          <w:sz w:val="24"/>
          <w:szCs w:val="24"/>
        </w:rPr>
        <w:lastRenderedPageBreak/>
        <w:t>Financial Data</w:t>
      </w:r>
    </w:p>
    <w:p w:rsidRPr="00007910" w:rsidR="00B7129D" w:rsidP="00521244" w:rsidRDefault="00521244" w14:paraId="46D1224F" w14:textId="77777777">
      <w:pPr>
        <w:pStyle w:val="ListParagraph"/>
        <w:numPr>
          <w:ilvl w:val="0"/>
          <w:numId w:val="40"/>
        </w:numPr>
        <w:rPr>
          <w:rFonts w:ascii="Arial" w:hAnsi="Arial" w:cs="Arial"/>
          <w:color w:val="000000"/>
          <w:sz w:val="24"/>
          <w:szCs w:val="24"/>
        </w:rPr>
      </w:pPr>
      <w:r w:rsidRPr="00007910">
        <w:rPr>
          <w:rFonts w:ascii="Arial" w:hAnsi="Arial" w:cs="Arial"/>
          <w:color w:val="000000" w:themeColor="text1"/>
          <w:sz w:val="24"/>
          <w:szCs w:val="24"/>
        </w:rPr>
        <w:t>Historical distribution system spending for the past 10-years, in each category:</w:t>
      </w:r>
    </w:p>
    <w:p w:rsidRPr="00007910" w:rsidR="00B7129D" w:rsidP="00B7129D" w:rsidRDefault="00521244" w14:paraId="3F7E1D3D" w14:textId="77777777">
      <w:pPr>
        <w:pStyle w:val="ListParagraph"/>
        <w:numPr>
          <w:ilvl w:val="1"/>
          <w:numId w:val="40"/>
        </w:numPr>
        <w:rPr>
          <w:rFonts w:ascii="Arial" w:hAnsi="Arial" w:cs="Arial"/>
          <w:color w:val="000000"/>
          <w:sz w:val="24"/>
          <w:szCs w:val="24"/>
        </w:rPr>
      </w:pPr>
      <w:r w:rsidRPr="00007910">
        <w:rPr>
          <w:rFonts w:ascii="Arial" w:hAnsi="Arial" w:cs="Arial"/>
          <w:color w:val="000000" w:themeColor="text1"/>
          <w:sz w:val="24"/>
          <w:szCs w:val="24"/>
        </w:rPr>
        <w:t>Age-Related Replacements and Asset Renewal</w:t>
      </w:r>
    </w:p>
    <w:p w:rsidRPr="00007910" w:rsidR="00B7129D" w:rsidP="00B7129D" w:rsidRDefault="00521244" w14:paraId="59444ADC" w14:textId="77777777">
      <w:pPr>
        <w:pStyle w:val="ListParagraph"/>
        <w:numPr>
          <w:ilvl w:val="1"/>
          <w:numId w:val="40"/>
        </w:numPr>
        <w:rPr>
          <w:rFonts w:ascii="Arial" w:hAnsi="Arial" w:cs="Arial"/>
          <w:color w:val="000000"/>
          <w:sz w:val="24"/>
          <w:szCs w:val="24"/>
        </w:rPr>
      </w:pPr>
      <w:r w:rsidRPr="00007910">
        <w:rPr>
          <w:rFonts w:ascii="Arial" w:hAnsi="Arial" w:cs="Arial"/>
          <w:color w:val="000000" w:themeColor="text1"/>
          <w:sz w:val="24"/>
          <w:szCs w:val="24"/>
        </w:rPr>
        <w:t>System Expansion or Upgrades for Capacity</w:t>
      </w:r>
    </w:p>
    <w:p w:rsidRPr="00007910" w:rsidR="00B7129D" w:rsidP="00B7129D" w:rsidRDefault="00521244" w14:paraId="79660EBE" w14:textId="77777777">
      <w:pPr>
        <w:pStyle w:val="ListParagraph"/>
        <w:numPr>
          <w:ilvl w:val="1"/>
          <w:numId w:val="40"/>
        </w:numPr>
        <w:rPr>
          <w:rFonts w:ascii="Arial" w:hAnsi="Arial" w:cs="Arial"/>
          <w:color w:val="000000"/>
          <w:sz w:val="24"/>
          <w:szCs w:val="24"/>
        </w:rPr>
      </w:pPr>
      <w:r w:rsidRPr="00007910">
        <w:rPr>
          <w:rFonts w:ascii="Arial" w:hAnsi="Arial" w:cs="Arial"/>
          <w:color w:val="000000" w:themeColor="text1"/>
          <w:sz w:val="24"/>
          <w:szCs w:val="24"/>
        </w:rPr>
        <w:t>System Expansion or Upgrades for Reliability and Power Quality</w:t>
      </w:r>
    </w:p>
    <w:p w:rsidRPr="00007910" w:rsidR="00B7129D" w:rsidP="00B7129D" w:rsidRDefault="00521244" w14:paraId="071B2C47" w14:textId="77777777">
      <w:pPr>
        <w:pStyle w:val="ListParagraph"/>
        <w:numPr>
          <w:ilvl w:val="1"/>
          <w:numId w:val="40"/>
        </w:numPr>
        <w:rPr>
          <w:rFonts w:ascii="Arial" w:hAnsi="Arial" w:cs="Arial"/>
          <w:color w:val="000000"/>
          <w:sz w:val="24"/>
          <w:szCs w:val="24"/>
        </w:rPr>
      </w:pPr>
      <w:r w:rsidRPr="00007910">
        <w:rPr>
          <w:rFonts w:ascii="Arial" w:hAnsi="Arial" w:cs="Arial"/>
          <w:color w:val="000000" w:themeColor="text1"/>
          <w:sz w:val="24"/>
          <w:szCs w:val="24"/>
        </w:rPr>
        <w:t>New Customer Projects and New Revenue</w:t>
      </w:r>
    </w:p>
    <w:p w:rsidRPr="00007910" w:rsidR="00B7129D" w:rsidP="00B7129D" w:rsidRDefault="00521244" w14:paraId="06AFC736" w14:textId="77777777">
      <w:pPr>
        <w:pStyle w:val="ListParagraph"/>
        <w:numPr>
          <w:ilvl w:val="1"/>
          <w:numId w:val="40"/>
        </w:numPr>
        <w:rPr>
          <w:rFonts w:ascii="Arial" w:hAnsi="Arial" w:cs="Arial"/>
          <w:color w:val="000000"/>
          <w:sz w:val="24"/>
          <w:szCs w:val="24"/>
        </w:rPr>
      </w:pPr>
      <w:r w:rsidRPr="00007910">
        <w:rPr>
          <w:rFonts w:ascii="Arial" w:hAnsi="Arial" w:cs="Arial"/>
          <w:color w:val="000000" w:themeColor="text1"/>
          <w:sz w:val="24"/>
          <w:szCs w:val="24"/>
        </w:rPr>
        <w:t>Grid Modernization and Pilot Projects</w:t>
      </w:r>
    </w:p>
    <w:p w:rsidRPr="00007910" w:rsidR="00B7129D" w:rsidP="00B7129D" w:rsidRDefault="00521244" w14:paraId="4E20E658" w14:textId="77777777">
      <w:pPr>
        <w:pStyle w:val="ListParagraph"/>
        <w:numPr>
          <w:ilvl w:val="1"/>
          <w:numId w:val="40"/>
        </w:numPr>
        <w:rPr>
          <w:rFonts w:ascii="Arial" w:hAnsi="Arial" w:cs="Arial"/>
          <w:color w:val="000000"/>
          <w:sz w:val="24"/>
          <w:szCs w:val="24"/>
        </w:rPr>
      </w:pPr>
      <w:r w:rsidRPr="00007910">
        <w:rPr>
          <w:rFonts w:ascii="Arial" w:hAnsi="Arial" w:cs="Arial"/>
          <w:color w:val="000000" w:themeColor="text1"/>
          <w:sz w:val="24"/>
          <w:szCs w:val="24"/>
        </w:rPr>
        <w:t>Government Mandates</w:t>
      </w:r>
    </w:p>
    <w:p w:rsidRPr="00007910" w:rsidR="00B7129D" w:rsidP="00B7129D" w:rsidRDefault="00521244" w14:paraId="2491C34C" w14:textId="77777777">
      <w:pPr>
        <w:pStyle w:val="ListParagraph"/>
        <w:numPr>
          <w:ilvl w:val="1"/>
          <w:numId w:val="40"/>
        </w:numPr>
        <w:rPr>
          <w:rFonts w:ascii="Arial" w:hAnsi="Arial" w:cs="Arial"/>
          <w:color w:val="000000"/>
          <w:sz w:val="24"/>
          <w:szCs w:val="24"/>
        </w:rPr>
      </w:pPr>
      <w:r w:rsidRPr="00007910">
        <w:rPr>
          <w:rFonts w:ascii="Arial" w:hAnsi="Arial" w:cs="Arial"/>
          <w:color w:val="000000" w:themeColor="text1"/>
          <w:sz w:val="24"/>
          <w:szCs w:val="24"/>
        </w:rPr>
        <w:t>Metering</w:t>
      </w:r>
    </w:p>
    <w:p w:rsidRPr="00007910" w:rsidR="00B7129D" w:rsidP="00B7129D" w:rsidRDefault="00521244" w14:paraId="2A2CE425" w14:textId="77777777">
      <w:pPr>
        <w:pStyle w:val="ListParagraph"/>
        <w:numPr>
          <w:ilvl w:val="1"/>
          <w:numId w:val="40"/>
        </w:numPr>
        <w:rPr>
          <w:rFonts w:ascii="Arial" w:hAnsi="Arial" w:cs="Arial"/>
          <w:color w:val="000000"/>
          <w:sz w:val="24"/>
          <w:szCs w:val="24"/>
        </w:rPr>
      </w:pPr>
      <w:r w:rsidRPr="00007910">
        <w:rPr>
          <w:rFonts w:ascii="Arial" w:hAnsi="Arial" w:cs="Arial"/>
          <w:color w:val="000000" w:themeColor="text1"/>
          <w:sz w:val="24"/>
          <w:szCs w:val="24"/>
        </w:rPr>
        <w:t>Other</w:t>
      </w:r>
    </w:p>
    <w:p w:rsidRPr="00007910" w:rsidR="00B7129D" w:rsidP="00B7129D" w:rsidRDefault="00521244" w14:paraId="648B1EDF" w14:textId="749075F8">
      <w:pPr>
        <w:pStyle w:val="ListParagraph"/>
        <w:numPr>
          <w:ilvl w:val="0"/>
          <w:numId w:val="40"/>
        </w:numPr>
        <w:rPr>
          <w:rFonts w:ascii="Arial" w:hAnsi="Arial" w:cs="Arial"/>
          <w:color w:val="000000"/>
          <w:sz w:val="24"/>
          <w:szCs w:val="24"/>
        </w:rPr>
      </w:pPr>
      <w:r w:rsidRPr="00007910">
        <w:rPr>
          <w:rFonts w:ascii="Arial" w:hAnsi="Arial" w:cs="Arial"/>
          <w:color w:val="000000" w:themeColor="text1"/>
          <w:sz w:val="24"/>
          <w:szCs w:val="24"/>
        </w:rPr>
        <w:t>Projected distribution system spending for 5-years into the future for the categories</w:t>
      </w:r>
      <w:r w:rsidR="00A75E2F">
        <w:rPr>
          <w:rFonts w:ascii="Arial" w:hAnsi="Arial" w:cs="Arial"/>
          <w:color w:val="000000" w:themeColor="text1"/>
          <w:sz w:val="24"/>
          <w:szCs w:val="24"/>
        </w:rPr>
        <w:t xml:space="preserve"> </w:t>
      </w:r>
      <w:r w:rsidRPr="00007910">
        <w:rPr>
          <w:rFonts w:ascii="Arial" w:hAnsi="Arial" w:cs="Arial"/>
          <w:color w:val="000000" w:themeColor="text1"/>
          <w:sz w:val="24"/>
          <w:szCs w:val="24"/>
        </w:rPr>
        <w:t>listed above, itemizing any non-traditional distribution projects</w:t>
      </w:r>
      <w:r w:rsidR="00A75E2F">
        <w:rPr>
          <w:rFonts w:ascii="Arial" w:hAnsi="Arial" w:cs="Arial"/>
          <w:color w:val="000000" w:themeColor="text1"/>
          <w:sz w:val="24"/>
          <w:szCs w:val="24"/>
        </w:rPr>
        <w:t>.</w:t>
      </w:r>
    </w:p>
    <w:p w:rsidRPr="00007910" w:rsidR="00B7129D" w:rsidP="00B7129D" w:rsidRDefault="00521244" w14:paraId="5C0B7984" w14:textId="3CC88AF7">
      <w:pPr>
        <w:pStyle w:val="ListParagraph"/>
        <w:numPr>
          <w:ilvl w:val="0"/>
          <w:numId w:val="40"/>
        </w:numPr>
        <w:rPr>
          <w:rFonts w:ascii="Arial" w:hAnsi="Arial" w:cs="Arial"/>
          <w:color w:val="000000"/>
          <w:sz w:val="24"/>
          <w:szCs w:val="24"/>
        </w:rPr>
      </w:pPr>
      <w:r w:rsidRPr="00007910">
        <w:rPr>
          <w:rFonts w:ascii="Arial" w:hAnsi="Arial" w:cs="Arial"/>
          <w:color w:val="000000" w:themeColor="text1"/>
          <w:sz w:val="24"/>
          <w:szCs w:val="24"/>
        </w:rPr>
        <w:t>Planned distribution capital projects, including drivers for the project (e.g. see list in</w:t>
      </w:r>
      <w:r w:rsidR="001C1606">
        <w:rPr>
          <w:rFonts w:ascii="Arial" w:hAnsi="Arial" w:cs="Arial"/>
          <w:color w:val="000000" w:themeColor="text1"/>
          <w:sz w:val="24"/>
          <w:szCs w:val="24"/>
        </w:rPr>
        <w:t xml:space="preserve"> </w:t>
      </w:r>
      <w:r w:rsidRPr="00007910">
        <w:rPr>
          <w:rFonts w:ascii="Arial" w:hAnsi="Arial" w:cs="Arial"/>
          <w:color w:val="000000" w:themeColor="text1"/>
          <w:sz w:val="24"/>
          <w:szCs w:val="24"/>
        </w:rPr>
        <w:t>Financial Data #1), timeline for improvement, summary of anticipated changes in</w:t>
      </w:r>
      <w:r w:rsidR="001C1606">
        <w:rPr>
          <w:rFonts w:ascii="Arial" w:hAnsi="Arial" w:cs="Arial"/>
          <w:color w:val="000000" w:themeColor="text1"/>
          <w:sz w:val="24"/>
          <w:szCs w:val="24"/>
        </w:rPr>
        <w:t xml:space="preserve"> </w:t>
      </w:r>
      <w:r w:rsidRPr="00007910">
        <w:rPr>
          <w:rFonts w:ascii="Arial" w:hAnsi="Arial" w:cs="Arial"/>
          <w:color w:val="000000" w:themeColor="text1"/>
          <w:sz w:val="24"/>
          <w:szCs w:val="24"/>
        </w:rPr>
        <w:t>historic spending</w:t>
      </w:r>
      <w:r w:rsidR="00A75E2F">
        <w:rPr>
          <w:rFonts w:ascii="Arial" w:hAnsi="Arial" w:cs="Arial"/>
          <w:color w:val="000000" w:themeColor="text1"/>
          <w:sz w:val="24"/>
          <w:szCs w:val="24"/>
        </w:rPr>
        <w:t>.</w:t>
      </w:r>
    </w:p>
    <w:p w:rsidRPr="00007910" w:rsidR="00521244" w:rsidP="00B7129D" w:rsidRDefault="00521244" w14:paraId="59B4F88C" w14:textId="64EA200C">
      <w:pPr>
        <w:pStyle w:val="ListParagraph"/>
        <w:numPr>
          <w:ilvl w:val="0"/>
          <w:numId w:val="40"/>
        </w:numPr>
        <w:rPr>
          <w:rFonts w:ascii="Arial" w:hAnsi="Arial" w:cs="Arial"/>
          <w:color w:val="000000"/>
          <w:sz w:val="24"/>
          <w:szCs w:val="24"/>
        </w:rPr>
      </w:pPr>
      <w:r w:rsidRPr="00007910">
        <w:rPr>
          <w:rFonts w:ascii="Arial" w:hAnsi="Arial" w:cs="Arial"/>
          <w:color w:val="000000" w:themeColor="text1"/>
          <w:sz w:val="24"/>
          <w:szCs w:val="24"/>
        </w:rPr>
        <w:t>Provide any available cost benefit analysis in which the company evaluated a nontraditional distribution system solution to either a capital or operating upgrade or</w:t>
      </w:r>
      <w:r w:rsidR="00A75E2F">
        <w:rPr>
          <w:rFonts w:ascii="Arial" w:hAnsi="Arial" w:cs="Arial"/>
          <w:color w:val="000000" w:themeColor="text1"/>
          <w:sz w:val="24"/>
          <w:szCs w:val="24"/>
        </w:rPr>
        <w:t xml:space="preserve"> </w:t>
      </w:r>
      <w:r w:rsidRPr="00007910">
        <w:rPr>
          <w:rFonts w:ascii="Arial" w:hAnsi="Arial" w:cs="Arial"/>
          <w:color w:val="000000" w:themeColor="text1"/>
          <w:sz w:val="24"/>
          <w:szCs w:val="24"/>
        </w:rPr>
        <w:t>replacement</w:t>
      </w:r>
      <w:r w:rsidR="00A75E2F">
        <w:rPr>
          <w:rFonts w:ascii="Arial" w:hAnsi="Arial" w:cs="Arial"/>
          <w:color w:val="000000" w:themeColor="text1"/>
          <w:sz w:val="24"/>
          <w:szCs w:val="24"/>
        </w:rPr>
        <w:t>.</w:t>
      </w:r>
    </w:p>
    <w:p w:rsidRPr="00007910" w:rsidR="00007910" w:rsidP="00521244" w:rsidRDefault="00521244" w14:paraId="17418DA5" w14:textId="6685DD03">
      <w:pPr>
        <w:rPr>
          <w:rFonts w:ascii="Arial" w:hAnsi="Arial" w:cs="Arial"/>
          <w:color w:val="000000" w:themeColor="text1"/>
          <w:sz w:val="24"/>
          <w:szCs w:val="24"/>
        </w:rPr>
      </w:pPr>
      <w:r w:rsidRPr="00007910">
        <w:rPr>
          <w:rFonts w:ascii="Arial" w:hAnsi="Arial" w:cs="Arial"/>
          <w:b/>
          <w:bCs/>
          <w:color w:val="000000" w:themeColor="text1"/>
          <w:sz w:val="24"/>
          <w:szCs w:val="24"/>
        </w:rPr>
        <w:t>DER Deployment</w:t>
      </w:r>
    </w:p>
    <w:p w:rsidRPr="00007910" w:rsidR="00007910" w:rsidP="00007910" w:rsidRDefault="00A75E2F" w14:paraId="7F6C617C" w14:textId="4FB7A3E3">
      <w:pPr>
        <w:pStyle w:val="ListParagraph"/>
        <w:numPr>
          <w:ilvl w:val="0"/>
          <w:numId w:val="41"/>
        </w:numPr>
        <w:rPr>
          <w:rFonts w:ascii="Arial" w:hAnsi="Arial" w:cs="Arial"/>
          <w:color w:val="000000"/>
          <w:sz w:val="24"/>
          <w:szCs w:val="24"/>
        </w:rPr>
      </w:pPr>
      <w:r>
        <w:rPr>
          <w:rFonts w:ascii="Arial" w:hAnsi="Arial" w:cs="Arial"/>
          <w:color w:val="000000" w:themeColor="text1"/>
          <w:sz w:val="24"/>
          <w:szCs w:val="24"/>
        </w:rPr>
        <w:t>C</w:t>
      </w:r>
      <w:r w:rsidRPr="00007910" w:rsidR="00521244">
        <w:rPr>
          <w:rFonts w:ascii="Arial" w:hAnsi="Arial" w:cs="Arial"/>
          <w:color w:val="000000" w:themeColor="text1"/>
          <w:sz w:val="24"/>
          <w:szCs w:val="24"/>
        </w:rPr>
        <w:t>urrent distributed generation deployment by type (photovoltaic, hydro, wind, etc.),</w:t>
      </w:r>
      <w:r>
        <w:rPr>
          <w:rFonts w:ascii="Arial" w:hAnsi="Arial" w:cs="Arial"/>
          <w:color w:val="000000" w:themeColor="text1"/>
          <w:sz w:val="24"/>
          <w:szCs w:val="24"/>
        </w:rPr>
        <w:t xml:space="preserve"> </w:t>
      </w:r>
      <w:r w:rsidRPr="00007910" w:rsidR="00521244">
        <w:rPr>
          <w:rFonts w:ascii="Arial" w:hAnsi="Arial" w:cs="Arial"/>
          <w:color w:val="000000" w:themeColor="text1"/>
          <w:sz w:val="24"/>
          <w:szCs w:val="24"/>
        </w:rPr>
        <w:t>size (≤100 kilowatt (“kW”), 100kW-1 megawatt (“MW”), &gt;1MW), and geographic</w:t>
      </w:r>
      <w:r>
        <w:rPr>
          <w:rFonts w:ascii="Arial" w:hAnsi="Arial" w:cs="Arial"/>
          <w:color w:val="000000" w:themeColor="text1"/>
          <w:sz w:val="24"/>
          <w:szCs w:val="24"/>
        </w:rPr>
        <w:t xml:space="preserve"> </w:t>
      </w:r>
      <w:r w:rsidRPr="00007910" w:rsidR="00521244">
        <w:rPr>
          <w:rFonts w:ascii="Arial" w:hAnsi="Arial" w:cs="Arial"/>
          <w:color w:val="000000" w:themeColor="text1"/>
          <w:sz w:val="24"/>
          <w:szCs w:val="24"/>
        </w:rPr>
        <w:t>dispersion (as useful for planning purposes; such as, by planning areas,</w:t>
      </w:r>
      <w:r w:rsidRPr="00007910" w:rsidR="00007910">
        <w:rPr>
          <w:rFonts w:ascii="Arial" w:hAnsi="Arial" w:cs="Arial"/>
          <w:color w:val="000000" w:themeColor="text1"/>
          <w:sz w:val="24"/>
          <w:szCs w:val="24"/>
        </w:rPr>
        <w:t xml:space="preserve"> s</w:t>
      </w:r>
      <w:r w:rsidRPr="00007910" w:rsidR="00521244">
        <w:rPr>
          <w:rFonts w:ascii="Arial" w:hAnsi="Arial" w:cs="Arial"/>
          <w:color w:val="000000" w:themeColor="text1"/>
          <w:sz w:val="24"/>
          <w:szCs w:val="24"/>
        </w:rPr>
        <w:t>ervice/work</w:t>
      </w:r>
      <w:r w:rsidRPr="00007910" w:rsidR="00007910">
        <w:rPr>
          <w:rFonts w:ascii="Arial" w:hAnsi="Arial" w:cs="Arial"/>
          <w:color w:val="000000" w:themeColor="text1"/>
          <w:sz w:val="24"/>
          <w:szCs w:val="24"/>
        </w:rPr>
        <w:t xml:space="preserve"> </w:t>
      </w:r>
      <w:r w:rsidRPr="00007910" w:rsidR="00521244">
        <w:rPr>
          <w:rFonts w:ascii="Arial" w:hAnsi="Arial" w:cs="Arial"/>
          <w:color w:val="000000" w:themeColor="text1"/>
          <w:sz w:val="24"/>
          <w:szCs w:val="24"/>
        </w:rPr>
        <w:t>center areas, cities, etc.)</w:t>
      </w:r>
      <w:r>
        <w:rPr>
          <w:rFonts w:ascii="Arial" w:hAnsi="Arial" w:cs="Arial"/>
          <w:color w:val="000000" w:themeColor="text1"/>
          <w:sz w:val="24"/>
          <w:szCs w:val="24"/>
        </w:rPr>
        <w:t>.</w:t>
      </w:r>
    </w:p>
    <w:p w:rsidRPr="00007910" w:rsidR="00007910" w:rsidP="00007910" w:rsidRDefault="00521244" w14:paraId="4FECAAFE" w14:textId="1F2307D4">
      <w:pPr>
        <w:pStyle w:val="ListParagraph"/>
        <w:numPr>
          <w:ilvl w:val="0"/>
          <w:numId w:val="41"/>
        </w:numPr>
        <w:rPr>
          <w:rFonts w:ascii="Arial" w:hAnsi="Arial" w:cs="Arial"/>
          <w:color w:val="000000"/>
          <w:sz w:val="24"/>
          <w:szCs w:val="24"/>
        </w:rPr>
      </w:pPr>
      <w:r w:rsidRPr="00007910">
        <w:rPr>
          <w:rFonts w:ascii="Arial" w:hAnsi="Arial" w:cs="Arial"/>
          <w:color w:val="000000" w:themeColor="text1"/>
          <w:sz w:val="24"/>
          <w:szCs w:val="24"/>
        </w:rPr>
        <w:t>Information on areas of existing or forecasted high distributed generation penetration</w:t>
      </w:r>
      <w:r w:rsidRPr="00007910" w:rsidR="00007910">
        <w:rPr>
          <w:rFonts w:ascii="Arial" w:hAnsi="Arial" w:cs="Arial"/>
          <w:color w:val="000000" w:themeColor="text1"/>
          <w:sz w:val="24"/>
          <w:szCs w:val="24"/>
        </w:rPr>
        <w:t>; i</w:t>
      </w:r>
      <w:r w:rsidRPr="00007910">
        <w:rPr>
          <w:rFonts w:ascii="Arial" w:hAnsi="Arial" w:cs="Arial"/>
          <w:color w:val="000000" w:themeColor="text1"/>
          <w:sz w:val="24"/>
          <w:szCs w:val="24"/>
        </w:rPr>
        <w:t>nclude definition and rationale for what the Company considers “high” penetration</w:t>
      </w:r>
      <w:r w:rsidRPr="00007910" w:rsidR="00007910">
        <w:rPr>
          <w:rFonts w:ascii="Arial" w:hAnsi="Arial" w:cs="Arial"/>
          <w:color w:val="000000" w:themeColor="text1"/>
          <w:sz w:val="24"/>
          <w:szCs w:val="24"/>
        </w:rPr>
        <w:t>; i</w:t>
      </w:r>
      <w:r w:rsidRPr="00007910">
        <w:rPr>
          <w:rFonts w:ascii="Arial" w:hAnsi="Arial" w:cs="Arial"/>
          <w:color w:val="000000" w:themeColor="text1"/>
          <w:sz w:val="24"/>
          <w:szCs w:val="24"/>
        </w:rPr>
        <w:t>nclude number and location of known sub-stations and circuits with no or very</w:t>
      </w:r>
      <w:r w:rsidRPr="00007910" w:rsidR="00007910">
        <w:rPr>
          <w:rFonts w:ascii="Arial" w:hAnsi="Arial" w:cs="Arial"/>
          <w:color w:val="000000" w:themeColor="text1"/>
          <w:sz w:val="24"/>
          <w:szCs w:val="24"/>
        </w:rPr>
        <w:t xml:space="preserve"> </w:t>
      </w:r>
      <w:r w:rsidRPr="00007910">
        <w:rPr>
          <w:rFonts w:ascii="Arial" w:hAnsi="Arial" w:cs="Arial"/>
          <w:color w:val="000000" w:themeColor="text1"/>
          <w:sz w:val="24"/>
          <w:szCs w:val="24"/>
        </w:rPr>
        <w:t>limited hosting capacity (e.g. for systems 500kW or greater) without significant</w:t>
      </w:r>
      <w:r w:rsidRPr="00007910" w:rsidR="00007910">
        <w:rPr>
          <w:rFonts w:ascii="Arial" w:hAnsi="Arial" w:cs="Arial"/>
          <w:color w:val="000000" w:themeColor="text1"/>
          <w:sz w:val="24"/>
          <w:szCs w:val="24"/>
        </w:rPr>
        <w:t xml:space="preserve"> </w:t>
      </w:r>
      <w:r w:rsidRPr="00007910">
        <w:rPr>
          <w:rFonts w:ascii="Arial" w:hAnsi="Arial" w:cs="Arial"/>
          <w:color w:val="000000" w:themeColor="text1"/>
          <w:sz w:val="24"/>
          <w:szCs w:val="24"/>
        </w:rPr>
        <w:t>distributed generation developer investment, and the cause of the limitation</w:t>
      </w:r>
      <w:r w:rsidR="00A75E2F">
        <w:rPr>
          <w:rFonts w:ascii="Arial" w:hAnsi="Arial" w:cs="Arial"/>
          <w:color w:val="000000" w:themeColor="text1"/>
          <w:sz w:val="24"/>
          <w:szCs w:val="24"/>
        </w:rPr>
        <w:t>.</w:t>
      </w:r>
    </w:p>
    <w:p w:rsidRPr="00A75E2F" w:rsidR="00A75E2F" w:rsidP="00A75E2F" w:rsidRDefault="00521244" w14:paraId="2FEEF4C5" w14:textId="4BF89F7C">
      <w:pPr>
        <w:pStyle w:val="ListParagraph"/>
        <w:numPr>
          <w:ilvl w:val="0"/>
          <w:numId w:val="41"/>
        </w:numPr>
        <w:rPr>
          <w:rFonts w:ascii="Arial" w:hAnsi="Arial" w:cs="Arial"/>
          <w:color w:val="000000"/>
          <w:sz w:val="24"/>
          <w:szCs w:val="24"/>
        </w:rPr>
      </w:pPr>
      <w:r w:rsidRPr="00A75E2F">
        <w:rPr>
          <w:rFonts w:ascii="Arial" w:hAnsi="Arial" w:cs="Arial"/>
          <w:color w:val="000000" w:themeColor="text1"/>
          <w:sz w:val="24"/>
          <w:szCs w:val="24"/>
        </w:rPr>
        <w:t>Information on areas with existing or forecasted abnormal voltage or frequency issues</w:t>
      </w:r>
      <w:r w:rsidRPr="00A75E2F" w:rsidR="00007910">
        <w:rPr>
          <w:rFonts w:ascii="Arial" w:hAnsi="Arial" w:cs="Arial"/>
          <w:color w:val="000000" w:themeColor="text1"/>
          <w:sz w:val="24"/>
          <w:szCs w:val="24"/>
        </w:rPr>
        <w:t xml:space="preserve"> </w:t>
      </w:r>
      <w:r w:rsidRPr="00A75E2F">
        <w:rPr>
          <w:rFonts w:ascii="Arial" w:hAnsi="Arial" w:cs="Arial"/>
          <w:color w:val="000000" w:themeColor="text1"/>
          <w:sz w:val="24"/>
          <w:szCs w:val="24"/>
        </w:rPr>
        <w:t>that may benefit from the utilization of advanced inverter technology; provide</w:t>
      </w:r>
      <w:r w:rsidRPr="00A75E2F" w:rsidR="00A75E2F">
        <w:rPr>
          <w:rFonts w:ascii="Arial" w:hAnsi="Arial" w:cs="Arial"/>
          <w:color w:val="000000" w:themeColor="text1"/>
          <w:sz w:val="24"/>
          <w:szCs w:val="24"/>
        </w:rPr>
        <w:t xml:space="preserve"> </w:t>
      </w:r>
      <w:r w:rsidRPr="00A75E2F">
        <w:rPr>
          <w:rFonts w:ascii="Arial" w:hAnsi="Arial" w:cs="Arial"/>
          <w:color w:val="000000" w:themeColor="text1"/>
          <w:sz w:val="24"/>
          <w:szCs w:val="24"/>
        </w:rPr>
        <w:t>information describing experiences where distributed generation installations have</w:t>
      </w:r>
      <w:r w:rsidRPr="00A75E2F" w:rsidR="00A75E2F">
        <w:rPr>
          <w:rFonts w:ascii="Arial" w:hAnsi="Arial" w:cs="Arial"/>
          <w:color w:val="000000" w:themeColor="text1"/>
          <w:sz w:val="24"/>
          <w:szCs w:val="24"/>
        </w:rPr>
        <w:t xml:space="preserve"> </w:t>
      </w:r>
      <w:r w:rsidRPr="00A75E2F">
        <w:rPr>
          <w:rFonts w:ascii="Arial" w:hAnsi="Arial" w:cs="Arial"/>
          <w:color w:val="000000" w:themeColor="text1"/>
          <w:sz w:val="24"/>
          <w:szCs w:val="24"/>
        </w:rPr>
        <w:t>caused operational challenges such as power quality, voltage or system overload</w:t>
      </w:r>
      <w:r w:rsidRPr="00A75E2F" w:rsidR="00A75E2F">
        <w:rPr>
          <w:rFonts w:ascii="Arial" w:hAnsi="Arial" w:cs="Arial"/>
          <w:color w:val="000000" w:themeColor="text1"/>
          <w:sz w:val="24"/>
          <w:szCs w:val="24"/>
        </w:rPr>
        <w:t xml:space="preserve"> </w:t>
      </w:r>
      <w:r w:rsidRPr="00A75E2F">
        <w:rPr>
          <w:rFonts w:ascii="Arial" w:hAnsi="Arial" w:cs="Arial"/>
          <w:color w:val="000000" w:themeColor="text1"/>
          <w:sz w:val="24"/>
          <w:szCs w:val="24"/>
        </w:rPr>
        <w:t>issues, and associated customer complaints</w:t>
      </w:r>
      <w:r w:rsidR="00A75E2F">
        <w:rPr>
          <w:rFonts w:ascii="Arial" w:hAnsi="Arial" w:cs="Arial"/>
          <w:color w:val="000000" w:themeColor="text1"/>
          <w:sz w:val="24"/>
          <w:szCs w:val="24"/>
        </w:rPr>
        <w:t>.</w:t>
      </w:r>
    </w:p>
    <w:p w:rsidRPr="00A75E2F" w:rsidR="00007910" w:rsidP="00A75E2F" w:rsidRDefault="00521244" w14:paraId="2B6C4E60" w14:textId="5F2973A6">
      <w:pPr>
        <w:pStyle w:val="ListParagraph"/>
        <w:numPr>
          <w:ilvl w:val="0"/>
          <w:numId w:val="41"/>
        </w:numPr>
        <w:rPr>
          <w:rFonts w:ascii="Arial" w:hAnsi="Arial" w:cs="Arial"/>
          <w:color w:val="000000"/>
          <w:sz w:val="24"/>
          <w:szCs w:val="24"/>
        </w:rPr>
      </w:pPr>
      <w:r w:rsidRPr="00A75E2F">
        <w:rPr>
          <w:rFonts w:ascii="Arial" w:hAnsi="Arial" w:cs="Arial"/>
          <w:color w:val="000000" w:themeColor="text1"/>
          <w:sz w:val="24"/>
          <w:szCs w:val="24"/>
        </w:rPr>
        <w:t>Provide currently available Hosting Capacity Maps for all measures of Hosting Capacity</w:t>
      </w:r>
      <w:r w:rsidRPr="00A75E2F" w:rsidR="00007910">
        <w:rPr>
          <w:rFonts w:ascii="Arial" w:hAnsi="Arial" w:cs="Arial"/>
          <w:color w:val="000000" w:themeColor="text1"/>
          <w:sz w:val="24"/>
          <w:szCs w:val="24"/>
        </w:rPr>
        <w:t>; i</w:t>
      </w:r>
      <w:r w:rsidRPr="00A75E2F">
        <w:rPr>
          <w:rFonts w:ascii="Arial" w:hAnsi="Arial" w:cs="Arial"/>
          <w:color w:val="000000" w:themeColor="text1"/>
          <w:sz w:val="24"/>
          <w:szCs w:val="24"/>
        </w:rPr>
        <w:t xml:space="preserve">nformation regarding any existing plans the Company </w:t>
      </w:r>
      <w:proofErr w:type="gramStart"/>
      <w:r w:rsidRPr="00A75E2F">
        <w:rPr>
          <w:rFonts w:ascii="Arial" w:hAnsi="Arial" w:cs="Arial"/>
          <w:color w:val="000000" w:themeColor="text1"/>
          <w:sz w:val="24"/>
          <w:szCs w:val="24"/>
        </w:rPr>
        <w:t>has to</w:t>
      </w:r>
      <w:proofErr w:type="gramEnd"/>
      <w:r w:rsidRPr="00A75E2F">
        <w:rPr>
          <w:rFonts w:ascii="Arial" w:hAnsi="Arial" w:cs="Arial"/>
          <w:color w:val="000000" w:themeColor="text1"/>
          <w:sz w:val="24"/>
          <w:szCs w:val="24"/>
        </w:rPr>
        <w:t xml:space="preserve"> develop a hosting</w:t>
      </w:r>
      <w:r w:rsidRPr="00A75E2F" w:rsidR="00007910">
        <w:rPr>
          <w:rFonts w:ascii="Arial" w:hAnsi="Arial" w:cs="Arial"/>
        </w:rPr>
        <w:t xml:space="preserve"> </w:t>
      </w:r>
      <w:r w:rsidRPr="00A75E2F">
        <w:rPr>
          <w:rFonts w:ascii="Arial" w:hAnsi="Arial" w:cs="Arial"/>
          <w:color w:val="000000" w:themeColor="text1"/>
          <w:sz w:val="24"/>
          <w:szCs w:val="24"/>
        </w:rPr>
        <w:t>capacity analysis</w:t>
      </w:r>
      <w:r w:rsidR="00A75E2F">
        <w:rPr>
          <w:rFonts w:ascii="Arial" w:hAnsi="Arial" w:cs="Arial"/>
          <w:color w:val="000000" w:themeColor="text1"/>
          <w:sz w:val="24"/>
          <w:szCs w:val="24"/>
        </w:rPr>
        <w:t>.</w:t>
      </w:r>
    </w:p>
    <w:p w:rsidRPr="00007910" w:rsidR="00007910" w:rsidP="1D5F143A" w:rsidRDefault="00521244" w14:paraId="4657F56F" w14:textId="3FAA0796">
      <w:pPr>
        <w:pStyle w:val="ListParagraph"/>
        <w:numPr>
          <w:ilvl w:val="0"/>
          <w:numId w:val="41"/>
        </w:numPr>
        <w:rPr>
          <w:rFonts w:ascii="Arial" w:hAnsi="Arial" w:cs="Arial"/>
          <w:color w:val="000000"/>
          <w:sz w:val="24"/>
          <w:szCs w:val="24"/>
        </w:rPr>
      </w:pPr>
      <w:r w:rsidRPr="00007910">
        <w:rPr>
          <w:rFonts w:ascii="Arial" w:hAnsi="Arial" w:cs="Arial"/>
          <w:color w:val="000000" w:themeColor="text1"/>
          <w:sz w:val="24"/>
          <w:szCs w:val="24"/>
        </w:rPr>
        <w:t>Total number of applications and cost spent on distributed generation installation in</w:t>
      </w:r>
      <w:r w:rsidR="00A75E2F">
        <w:rPr>
          <w:rFonts w:ascii="Arial" w:hAnsi="Arial" w:cs="Arial"/>
          <w:color w:val="000000" w:themeColor="text1"/>
          <w:sz w:val="24"/>
          <w:szCs w:val="24"/>
        </w:rPr>
        <w:t xml:space="preserve"> </w:t>
      </w:r>
      <w:r w:rsidRPr="00007910">
        <w:rPr>
          <w:rFonts w:ascii="Arial" w:hAnsi="Arial" w:cs="Arial"/>
          <w:color w:val="000000" w:themeColor="text1"/>
          <w:sz w:val="24"/>
          <w:szCs w:val="24"/>
        </w:rPr>
        <w:t>the prior year (including application review, responding to inquiries, metering,</w:t>
      </w:r>
      <w:r w:rsidRPr="00007910" w:rsidR="00494185">
        <w:rPr>
          <w:rFonts w:ascii="Arial" w:hAnsi="Arial" w:cs="Arial"/>
        </w:rPr>
        <w:br/>
      </w:r>
      <w:r w:rsidRPr="00007910">
        <w:rPr>
          <w:rFonts w:ascii="Arial" w:hAnsi="Arial" w:cs="Arial"/>
          <w:color w:val="000000" w:themeColor="text1"/>
          <w:sz w:val="24"/>
          <w:szCs w:val="24"/>
        </w:rPr>
        <w:t>testing, make ready, etc</w:t>
      </w:r>
      <w:r w:rsidR="00A75E2F">
        <w:rPr>
          <w:rFonts w:ascii="Arial" w:hAnsi="Arial" w:cs="Arial"/>
          <w:color w:val="000000" w:themeColor="text1"/>
          <w:sz w:val="24"/>
          <w:szCs w:val="24"/>
        </w:rPr>
        <w:t>.</w:t>
      </w:r>
      <w:r w:rsidRPr="00007910">
        <w:rPr>
          <w:rFonts w:ascii="Arial" w:hAnsi="Arial" w:cs="Arial"/>
          <w:color w:val="000000" w:themeColor="text1"/>
          <w:sz w:val="24"/>
          <w:szCs w:val="24"/>
        </w:rPr>
        <w:t>)</w:t>
      </w:r>
      <w:r w:rsidR="00A75E2F">
        <w:rPr>
          <w:rFonts w:ascii="Arial" w:hAnsi="Arial" w:cs="Arial"/>
          <w:color w:val="000000" w:themeColor="text1"/>
          <w:sz w:val="24"/>
          <w:szCs w:val="24"/>
        </w:rPr>
        <w:t>.</w:t>
      </w:r>
    </w:p>
    <w:p w:rsidRPr="00007910" w:rsidR="00007910" w:rsidP="1D5F143A" w:rsidRDefault="00521244" w14:paraId="20A26FFA" w14:textId="37838CB2">
      <w:pPr>
        <w:pStyle w:val="ListParagraph"/>
        <w:numPr>
          <w:ilvl w:val="0"/>
          <w:numId w:val="41"/>
        </w:numPr>
        <w:rPr>
          <w:rFonts w:ascii="Arial" w:hAnsi="Arial" w:cs="Arial"/>
          <w:color w:val="000000"/>
          <w:sz w:val="24"/>
          <w:szCs w:val="24"/>
        </w:rPr>
      </w:pPr>
      <w:r w:rsidRPr="00007910">
        <w:rPr>
          <w:rFonts w:ascii="Arial" w:hAnsi="Arial" w:cs="Arial"/>
          <w:color w:val="000000" w:themeColor="text1"/>
          <w:sz w:val="24"/>
          <w:szCs w:val="24"/>
        </w:rPr>
        <w:lastRenderedPageBreak/>
        <w:t>Total charges to customers/member installers for DER generation installations, in the</w:t>
      </w:r>
      <w:r w:rsidRPr="00007910" w:rsidR="00007910">
        <w:rPr>
          <w:rFonts w:ascii="Arial" w:hAnsi="Arial" w:cs="Arial"/>
          <w:color w:val="000000" w:themeColor="text1"/>
          <w:sz w:val="24"/>
          <w:szCs w:val="24"/>
        </w:rPr>
        <w:t xml:space="preserve"> </w:t>
      </w:r>
      <w:r w:rsidRPr="00007910">
        <w:rPr>
          <w:rFonts w:ascii="Arial" w:hAnsi="Arial" w:cs="Arial"/>
          <w:color w:val="000000" w:themeColor="text1"/>
          <w:sz w:val="24"/>
          <w:szCs w:val="24"/>
        </w:rPr>
        <w:t>prior year (including application, fees, metering, make ready, etc.)</w:t>
      </w:r>
      <w:r w:rsidR="00A75E2F">
        <w:rPr>
          <w:rFonts w:ascii="Arial" w:hAnsi="Arial" w:cs="Arial"/>
          <w:color w:val="000000" w:themeColor="text1"/>
          <w:sz w:val="24"/>
          <w:szCs w:val="24"/>
        </w:rPr>
        <w:t>.</w:t>
      </w:r>
    </w:p>
    <w:p w:rsidRPr="00007910" w:rsidR="00007910" w:rsidP="1D5F143A" w:rsidRDefault="00521244" w14:paraId="218DFD34" w14:textId="3607BFC9">
      <w:pPr>
        <w:pStyle w:val="ListParagraph"/>
        <w:numPr>
          <w:ilvl w:val="0"/>
          <w:numId w:val="41"/>
        </w:numPr>
        <w:rPr>
          <w:rFonts w:ascii="Arial" w:hAnsi="Arial" w:cs="Arial"/>
          <w:color w:val="000000"/>
          <w:sz w:val="24"/>
          <w:szCs w:val="24"/>
        </w:rPr>
      </w:pPr>
      <w:r w:rsidRPr="00007910">
        <w:rPr>
          <w:rFonts w:ascii="Arial" w:hAnsi="Arial" w:cs="Arial"/>
          <w:color w:val="000000" w:themeColor="text1"/>
          <w:sz w:val="24"/>
          <w:szCs w:val="24"/>
        </w:rPr>
        <w:t>Total nameplate kW of distributed generation system which completed</w:t>
      </w:r>
      <w:r w:rsidRPr="00007910" w:rsidR="00007910">
        <w:rPr>
          <w:rFonts w:ascii="Arial" w:hAnsi="Arial" w:cs="Arial"/>
        </w:rPr>
        <w:t xml:space="preserve"> </w:t>
      </w:r>
      <w:r w:rsidRPr="00007910">
        <w:rPr>
          <w:rFonts w:ascii="Arial" w:hAnsi="Arial" w:cs="Arial"/>
          <w:color w:val="000000" w:themeColor="text1"/>
          <w:sz w:val="24"/>
          <w:szCs w:val="24"/>
        </w:rPr>
        <w:t>interconnection to the system in the prior year</w:t>
      </w:r>
      <w:r w:rsidR="00A75E2F">
        <w:rPr>
          <w:rFonts w:ascii="Arial" w:hAnsi="Arial" w:cs="Arial"/>
          <w:color w:val="000000" w:themeColor="text1"/>
          <w:sz w:val="24"/>
          <w:szCs w:val="24"/>
        </w:rPr>
        <w:t>.</w:t>
      </w:r>
    </w:p>
    <w:p w:rsidRPr="00007910" w:rsidR="00007910" w:rsidP="1D5F143A" w:rsidRDefault="00521244" w14:paraId="7C32444F" w14:textId="10EECCB0">
      <w:pPr>
        <w:pStyle w:val="ListParagraph"/>
        <w:numPr>
          <w:ilvl w:val="0"/>
          <w:numId w:val="41"/>
        </w:numPr>
        <w:rPr>
          <w:rFonts w:ascii="Arial" w:hAnsi="Arial" w:cs="Arial"/>
          <w:color w:val="000000"/>
          <w:sz w:val="24"/>
          <w:szCs w:val="24"/>
        </w:rPr>
      </w:pPr>
      <w:r w:rsidRPr="00007910">
        <w:rPr>
          <w:rFonts w:ascii="Arial" w:hAnsi="Arial" w:cs="Arial"/>
          <w:color w:val="000000" w:themeColor="text1"/>
          <w:sz w:val="24"/>
          <w:szCs w:val="24"/>
        </w:rPr>
        <w:t>Total number of distributed generation systems which completed interconnection to</w:t>
      </w:r>
      <w:r w:rsidR="00A75E2F">
        <w:rPr>
          <w:rFonts w:ascii="Arial" w:hAnsi="Arial" w:cs="Arial"/>
          <w:color w:val="000000" w:themeColor="text1"/>
          <w:sz w:val="24"/>
          <w:szCs w:val="24"/>
        </w:rPr>
        <w:t xml:space="preserve"> </w:t>
      </w:r>
      <w:r w:rsidRPr="00007910">
        <w:rPr>
          <w:rFonts w:ascii="Arial" w:hAnsi="Arial" w:cs="Arial"/>
          <w:color w:val="000000" w:themeColor="text1"/>
          <w:sz w:val="24"/>
          <w:szCs w:val="24"/>
        </w:rPr>
        <w:t>the system in the prior year</w:t>
      </w:r>
      <w:r w:rsidR="00A75E2F">
        <w:rPr>
          <w:rFonts w:ascii="Arial" w:hAnsi="Arial" w:cs="Arial"/>
          <w:color w:val="000000" w:themeColor="text1"/>
          <w:sz w:val="24"/>
          <w:szCs w:val="24"/>
        </w:rPr>
        <w:t>.</w:t>
      </w:r>
    </w:p>
    <w:p w:rsidRPr="00007910" w:rsidR="00494185" w:rsidP="004042DB" w:rsidRDefault="00521244" w14:paraId="71353217" w14:textId="123CEA2B">
      <w:pPr>
        <w:pStyle w:val="ListParagraph"/>
        <w:numPr>
          <w:ilvl w:val="0"/>
          <w:numId w:val="41"/>
        </w:numPr>
        <w:rPr>
          <w:rFonts w:ascii="Arial" w:hAnsi="Arial" w:cs="Arial"/>
          <w:color w:val="000000"/>
          <w:sz w:val="24"/>
          <w:szCs w:val="24"/>
        </w:rPr>
      </w:pPr>
      <w:r w:rsidRPr="00A75E2F">
        <w:rPr>
          <w:rFonts w:ascii="Arial" w:hAnsi="Arial" w:cs="Arial"/>
          <w:color w:val="000000" w:themeColor="text1"/>
          <w:sz w:val="24"/>
          <w:szCs w:val="24"/>
        </w:rPr>
        <w:t>Average interconnection time and average time to complete application review, per application type</w:t>
      </w:r>
      <w:r w:rsidRPr="00A75E2F" w:rsidR="00007910">
        <w:rPr>
          <w:rFonts w:ascii="Arial" w:hAnsi="Arial" w:cs="Arial"/>
          <w:color w:val="000000" w:themeColor="text1"/>
          <w:sz w:val="24"/>
          <w:szCs w:val="24"/>
        </w:rPr>
        <w:t xml:space="preserve"> </w:t>
      </w:r>
      <w:r w:rsidRPr="00A75E2F">
        <w:rPr>
          <w:rFonts w:ascii="Arial" w:hAnsi="Arial" w:cs="Arial"/>
          <w:color w:val="000000" w:themeColor="text1"/>
          <w:sz w:val="24"/>
          <w:szCs w:val="24"/>
        </w:rPr>
        <w:t>(</w:t>
      </w:r>
      <w:r w:rsidRPr="00A75E2F" w:rsidR="00007910">
        <w:rPr>
          <w:rFonts w:ascii="Arial" w:hAnsi="Arial" w:cs="Arial"/>
          <w:color w:val="000000" w:themeColor="text1"/>
          <w:sz w:val="24"/>
          <w:szCs w:val="24"/>
        </w:rPr>
        <w:t xml:space="preserve">Residential </w:t>
      </w:r>
      <w:r w:rsidRPr="00A75E2F">
        <w:rPr>
          <w:rFonts w:ascii="Arial" w:hAnsi="Arial" w:cs="Arial"/>
          <w:color w:val="000000" w:themeColor="text1"/>
          <w:sz w:val="24"/>
          <w:szCs w:val="24"/>
        </w:rPr>
        <w:t>Inverter-based &lt;= 20kW, Fast Track, Study Process) as well as number of still pending applications and</w:t>
      </w:r>
      <w:r w:rsidRPr="00A75E2F" w:rsidR="00007910">
        <w:rPr>
          <w:rFonts w:ascii="Arial" w:hAnsi="Arial" w:cs="Arial"/>
          <w:color w:val="000000" w:themeColor="text1"/>
          <w:sz w:val="24"/>
          <w:szCs w:val="24"/>
        </w:rPr>
        <w:t xml:space="preserve"> </w:t>
      </w:r>
      <w:r w:rsidRPr="00A75E2F">
        <w:rPr>
          <w:rFonts w:ascii="Arial" w:hAnsi="Arial" w:cs="Arial"/>
          <w:color w:val="000000" w:themeColor="text1"/>
          <w:sz w:val="24"/>
          <w:szCs w:val="24"/>
        </w:rPr>
        <w:t>specific number, if any, of applications still spending after 6 months.</w:t>
      </w:r>
    </w:p>
    <w:sectPr w:rsidRPr="00007910" w:rsidR="00494185">
      <w:headerReference w:type="default" r:id="rId15"/>
      <w:footerReference w:type="default" r:id="rId16"/>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2065E" w:rsidP="001E6B0F" w:rsidRDefault="00A2065E" w14:paraId="4AF50A51" w14:textId="77777777">
      <w:pPr>
        <w:spacing w:after="0" w:line="240" w:lineRule="auto"/>
      </w:pPr>
      <w:r>
        <w:separator/>
      </w:r>
    </w:p>
  </w:endnote>
  <w:endnote w:type="continuationSeparator" w:id="0">
    <w:p w:rsidR="00A2065E" w:rsidP="001E6B0F" w:rsidRDefault="00A2065E" w14:paraId="61ADC34E" w14:textId="77777777">
      <w:pPr>
        <w:spacing w:after="0" w:line="240" w:lineRule="auto"/>
      </w:pPr>
      <w:r>
        <w:continuationSeparator/>
      </w:r>
    </w:p>
  </w:endnote>
  <w:endnote w:type="continuationNotice" w:id="1">
    <w:p w:rsidR="00A2065E" w:rsidRDefault="00A2065E" w14:paraId="106B7B2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Bodoni MT">
    <w:panose1 w:val="02070603080606020203"/>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Arial Nova Light">
    <w:altName w:val="Arial"/>
    <w:charset w:val="00"/>
    <w:family w:val="swiss"/>
    <w:pitch w:val="variable"/>
    <w:sig w:usb0="00000001"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77994682"/>
      <w:docPartObj>
        <w:docPartGallery w:val="Page Numbers (Bottom of Page)"/>
        <w:docPartUnique/>
      </w:docPartObj>
    </w:sdtPr>
    <w:sdtEndPr/>
    <w:sdtContent>
      <w:sdt>
        <w:sdtPr>
          <w:id w:val="-1769616900"/>
          <w:docPartObj>
            <w:docPartGallery w:val="Page Numbers (Top of Page)"/>
            <w:docPartUnique/>
          </w:docPartObj>
        </w:sdtPr>
        <w:sdtEndPr/>
        <w:sdtContent>
          <w:p w:rsidR="00255663" w:rsidRDefault="00255663" w14:paraId="4AD1425C" w14:textId="2A9D013D">
            <w:pPr>
              <w:pStyle w:val="Footer"/>
              <w:jc w:val="right"/>
            </w:pPr>
            <w:r w:rsidRPr="00255663">
              <w:rPr>
                <w:rFonts w:ascii="Arial" w:hAnsi="Arial" w:cs="Arial"/>
              </w:rPr>
              <w:t xml:space="preserve">Page </w:t>
            </w:r>
            <w:r w:rsidRPr="00255663">
              <w:rPr>
                <w:rFonts w:ascii="Arial" w:hAnsi="Arial" w:cs="Arial"/>
                <w:b/>
                <w:bCs/>
                <w:sz w:val="24"/>
                <w:szCs w:val="24"/>
              </w:rPr>
              <w:fldChar w:fldCharType="begin"/>
            </w:r>
            <w:r w:rsidRPr="00255663">
              <w:rPr>
                <w:rFonts w:ascii="Arial" w:hAnsi="Arial" w:cs="Arial"/>
                <w:b/>
                <w:bCs/>
              </w:rPr>
              <w:instrText xml:space="preserve"> PAGE </w:instrText>
            </w:r>
            <w:r w:rsidRPr="00255663">
              <w:rPr>
                <w:rFonts w:ascii="Arial" w:hAnsi="Arial" w:cs="Arial"/>
                <w:b/>
                <w:bCs/>
                <w:sz w:val="24"/>
                <w:szCs w:val="24"/>
              </w:rPr>
              <w:fldChar w:fldCharType="separate"/>
            </w:r>
            <w:r w:rsidR="00A75E2F">
              <w:rPr>
                <w:rFonts w:ascii="Arial" w:hAnsi="Arial" w:cs="Arial"/>
                <w:b/>
                <w:bCs/>
                <w:noProof/>
              </w:rPr>
              <w:t>4</w:t>
            </w:r>
            <w:r w:rsidRPr="00255663">
              <w:rPr>
                <w:rFonts w:ascii="Arial" w:hAnsi="Arial" w:cs="Arial"/>
                <w:b/>
                <w:bCs/>
                <w:sz w:val="24"/>
                <w:szCs w:val="24"/>
              </w:rPr>
              <w:fldChar w:fldCharType="end"/>
            </w:r>
            <w:r w:rsidRPr="00255663">
              <w:rPr>
                <w:rFonts w:ascii="Arial" w:hAnsi="Arial" w:cs="Arial"/>
              </w:rPr>
              <w:t xml:space="preserve"> of </w:t>
            </w:r>
            <w:r w:rsidRPr="00255663">
              <w:rPr>
                <w:rFonts w:ascii="Arial" w:hAnsi="Arial" w:cs="Arial"/>
                <w:b/>
                <w:bCs/>
                <w:sz w:val="24"/>
                <w:szCs w:val="24"/>
              </w:rPr>
              <w:fldChar w:fldCharType="begin"/>
            </w:r>
            <w:r w:rsidRPr="00255663">
              <w:rPr>
                <w:rFonts w:ascii="Arial" w:hAnsi="Arial" w:cs="Arial"/>
                <w:b/>
                <w:bCs/>
              </w:rPr>
              <w:instrText xml:space="preserve"> NUMPAGES  </w:instrText>
            </w:r>
            <w:r w:rsidRPr="00255663">
              <w:rPr>
                <w:rFonts w:ascii="Arial" w:hAnsi="Arial" w:cs="Arial"/>
                <w:b/>
                <w:bCs/>
                <w:sz w:val="24"/>
                <w:szCs w:val="24"/>
              </w:rPr>
              <w:fldChar w:fldCharType="separate"/>
            </w:r>
            <w:r w:rsidR="00A75E2F">
              <w:rPr>
                <w:rFonts w:ascii="Arial" w:hAnsi="Arial" w:cs="Arial"/>
                <w:b/>
                <w:bCs/>
                <w:noProof/>
              </w:rPr>
              <w:t>33</w:t>
            </w:r>
            <w:r w:rsidRPr="00255663">
              <w:rPr>
                <w:rFonts w:ascii="Arial" w:hAnsi="Arial" w:cs="Arial"/>
                <w:b/>
                <w:bCs/>
                <w:sz w:val="24"/>
                <w:szCs w:val="24"/>
              </w:rPr>
              <w:fldChar w:fldCharType="end"/>
            </w:r>
          </w:p>
        </w:sdtContent>
      </w:sdt>
    </w:sdtContent>
  </w:sdt>
  <w:p w:rsidR="00255663" w:rsidRDefault="00255663" w14:paraId="7CB89A0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2065E" w:rsidP="001E6B0F" w:rsidRDefault="00A2065E" w14:paraId="75F81F7D" w14:textId="77777777">
      <w:pPr>
        <w:spacing w:after="0" w:line="240" w:lineRule="auto"/>
      </w:pPr>
      <w:r>
        <w:separator/>
      </w:r>
    </w:p>
  </w:footnote>
  <w:footnote w:type="continuationSeparator" w:id="0">
    <w:p w:rsidR="00A2065E" w:rsidP="001E6B0F" w:rsidRDefault="00A2065E" w14:paraId="196032F6" w14:textId="77777777">
      <w:pPr>
        <w:spacing w:after="0" w:line="240" w:lineRule="auto"/>
      </w:pPr>
      <w:r>
        <w:continuationSeparator/>
      </w:r>
    </w:p>
  </w:footnote>
  <w:footnote w:type="continuationNotice" w:id="1">
    <w:p w:rsidR="00A2065E" w:rsidRDefault="00A2065E" w14:paraId="169566EE" w14:textId="77777777">
      <w:pPr>
        <w:spacing w:after="0" w:line="240" w:lineRule="auto"/>
      </w:pPr>
    </w:p>
  </w:footnote>
  <w:footnote w:id="2">
    <w:p w:rsidRPr="00A75E2F" w:rsidR="00255663" w:rsidP="5FD9357B" w:rsidRDefault="00255663" w14:paraId="511ED581" w14:textId="47BF34E6">
      <w:pPr>
        <w:pStyle w:val="FootnoteText"/>
        <w:rPr>
          <w:rFonts w:cs="Arial"/>
          <w:sz w:val="18"/>
          <w:szCs w:val="18"/>
        </w:rPr>
      </w:pPr>
      <w:r w:rsidRPr="00A75E2F">
        <w:rPr>
          <w:rStyle w:val="FootnoteReference"/>
          <w:rFonts w:eastAsia="Arial" w:cs="Arial"/>
          <w:sz w:val="18"/>
          <w:szCs w:val="18"/>
        </w:rPr>
        <w:footnoteRef/>
      </w:r>
      <w:r w:rsidRPr="00A75E2F">
        <w:rPr>
          <w:rFonts w:eastAsia="Arial" w:cs="Arial"/>
          <w:sz w:val="18"/>
          <w:szCs w:val="18"/>
        </w:rPr>
        <w:t xml:space="preserve"> The Equitable Modern Grid Framework is outlined in the Interim Decision dated October 2, 2019 in Docket No. 17-12-03, </w:t>
      </w:r>
      <w:r w:rsidRPr="00A75E2F">
        <w:rPr>
          <w:rFonts w:eastAsia="Arial" w:cs="Arial"/>
          <w:sz w:val="18"/>
          <w:szCs w:val="18"/>
          <w:u w:val="single"/>
        </w:rPr>
        <w:t>PURA Investigation into Distribution System Planning of the Electric Distribution Companies</w:t>
      </w:r>
      <w:r w:rsidRPr="00A75E2F">
        <w:rPr>
          <w:rFonts w:eastAsia="Arial" w:cs="Arial"/>
          <w:sz w:val="18"/>
          <w:szCs w:val="18"/>
        </w:rPr>
        <w:t>.</w:t>
      </w:r>
    </w:p>
  </w:footnote>
  <w:footnote w:id="3">
    <w:p w:rsidRPr="00A75E2F" w:rsidR="00255663" w:rsidP="00D34385" w:rsidRDefault="00255663" w14:paraId="4A9C304E" w14:textId="0D5D2417">
      <w:pPr>
        <w:pStyle w:val="FootnoteText"/>
        <w:rPr>
          <w:rFonts w:eastAsia="Arial" w:cs="Arial"/>
          <w:sz w:val="18"/>
          <w:szCs w:val="18"/>
        </w:rPr>
      </w:pPr>
      <w:r w:rsidRPr="00A75E2F">
        <w:rPr>
          <w:rStyle w:val="FootnoteReference"/>
          <w:rFonts w:eastAsia="Arial" w:cs="Arial"/>
          <w:sz w:val="18"/>
          <w:szCs w:val="18"/>
        </w:rPr>
        <w:footnoteRef/>
      </w:r>
      <w:r w:rsidRPr="00A75E2F">
        <w:rPr>
          <w:rFonts w:eastAsia="Arial" w:cs="Arial"/>
          <w:sz w:val="18"/>
          <w:szCs w:val="18"/>
        </w:rPr>
        <w:t xml:space="preserve"> See, Tr. 8/26/20, pp. 112-122</w:t>
      </w:r>
      <w:r w:rsidRPr="00087014">
        <w:rPr>
          <w:rFonts w:eastAsia="Arial" w:cs="Arial"/>
          <w:sz w:val="18"/>
          <w:szCs w:val="18"/>
        </w:rPr>
        <w:t>,</w:t>
      </w:r>
      <w:r w:rsidRPr="00A75E2F">
        <w:rPr>
          <w:rFonts w:eastAsia="Arial" w:cs="Arial"/>
          <w:sz w:val="18"/>
          <w:szCs w:val="18"/>
        </w:rPr>
        <w:t xml:space="preserve"> 129-137</w:t>
      </w:r>
      <w:r w:rsidRPr="00087014">
        <w:rPr>
          <w:rFonts w:eastAsia="Arial" w:cs="Arial"/>
          <w:sz w:val="18"/>
          <w:szCs w:val="18"/>
        </w:rPr>
        <w:t>.</w:t>
      </w:r>
    </w:p>
  </w:footnote>
  <w:footnote w:id="4">
    <w:p w:rsidRPr="00A75E2F" w:rsidR="00255663" w:rsidP="00D34385" w:rsidRDefault="00255663" w14:paraId="008B4258" w14:textId="50A10D04">
      <w:pPr>
        <w:pStyle w:val="FootnoteText"/>
        <w:rPr>
          <w:rFonts w:eastAsia="Arial" w:cs="Arial"/>
          <w:sz w:val="18"/>
          <w:szCs w:val="18"/>
        </w:rPr>
      </w:pPr>
      <w:r w:rsidRPr="00A75E2F">
        <w:rPr>
          <w:rStyle w:val="FootnoteReference"/>
          <w:rFonts w:eastAsia="Arial" w:cs="Arial"/>
          <w:sz w:val="18"/>
          <w:szCs w:val="18"/>
        </w:rPr>
        <w:footnoteRef/>
      </w:r>
      <w:r w:rsidRPr="00A75E2F">
        <w:rPr>
          <w:rFonts w:eastAsia="Arial" w:cs="Arial"/>
          <w:sz w:val="18"/>
          <w:szCs w:val="18"/>
        </w:rPr>
        <w:t xml:space="preserve"> For example, see, UI Written Comments, dated November 13, 2020; see also, Eversource Response to RSR-13, Attachment 1, Non-Wires Alternative Framework, Version 2.0, dated February 19, 2021 (filed April 5, 2021).</w:t>
      </w:r>
    </w:p>
  </w:footnote>
  <w:footnote w:id="5">
    <w:p w:rsidRPr="00087014" w:rsidR="00255663" w:rsidP="00A4227D" w:rsidRDefault="00255663" w14:paraId="2DF3DC72" w14:textId="77777777">
      <w:pPr>
        <w:pStyle w:val="FootnoteText"/>
        <w:rPr>
          <w:rFonts w:cs="Arial"/>
          <w:sz w:val="18"/>
          <w:szCs w:val="18"/>
        </w:rPr>
      </w:pPr>
      <w:r w:rsidRPr="00087014">
        <w:rPr>
          <w:rStyle w:val="FootnoteReference"/>
          <w:rFonts w:eastAsia="Arial" w:cs="Arial"/>
          <w:sz w:val="18"/>
          <w:szCs w:val="18"/>
        </w:rPr>
        <w:footnoteRef/>
      </w:r>
      <w:r w:rsidRPr="00087014">
        <w:rPr>
          <w:rFonts w:eastAsia="Arial" w:cs="Arial"/>
          <w:sz w:val="18"/>
          <w:szCs w:val="18"/>
        </w:rPr>
        <w:t xml:space="preserve"> Con Edison. (undated) Brooklyn-Queens Demand Management Demand Response Program. Retrieved from: </w:t>
      </w:r>
      <w:hyperlink w:history="1" r:id="rId1">
        <w:r w:rsidRPr="00087014">
          <w:rPr>
            <w:rStyle w:val="Hyperlink"/>
            <w:rFonts w:eastAsia="Arial" w:cs="Arial"/>
            <w:sz w:val="18"/>
            <w:szCs w:val="18"/>
          </w:rPr>
          <w:t>https://www.coned.com/en/business-partners/business-opportunities/brooklyn-queens-demand-management-demand-response-program</w:t>
        </w:r>
      </w:hyperlink>
      <w:r w:rsidRPr="00087014">
        <w:rPr>
          <w:rFonts w:eastAsia="Arial" w:cs="Arial"/>
          <w:sz w:val="18"/>
          <w:szCs w:val="18"/>
        </w:rPr>
        <w:t xml:space="preserve"> </w:t>
      </w:r>
    </w:p>
  </w:footnote>
  <w:footnote w:id="6">
    <w:p w:rsidRPr="00087014" w:rsidR="00255663" w:rsidP="00A4227D" w:rsidRDefault="00255663" w14:paraId="7F5CDB06" w14:textId="77777777">
      <w:pPr>
        <w:pStyle w:val="FootnoteText"/>
        <w:rPr>
          <w:rFonts w:cs="Arial"/>
          <w:sz w:val="18"/>
          <w:szCs w:val="18"/>
        </w:rPr>
      </w:pPr>
      <w:r w:rsidRPr="00087014">
        <w:rPr>
          <w:rStyle w:val="FootnoteReference"/>
          <w:rFonts w:eastAsia="Arial" w:cs="Arial"/>
          <w:sz w:val="18"/>
          <w:szCs w:val="18"/>
        </w:rPr>
        <w:footnoteRef/>
      </w:r>
      <w:r w:rsidRPr="00087014">
        <w:rPr>
          <w:rFonts w:eastAsia="Arial" w:cs="Arial"/>
          <w:sz w:val="18"/>
          <w:szCs w:val="18"/>
        </w:rPr>
        <w:t xml:space="preserve"> GridSolar (2016, January). Final Report Boothbay Sub-Region Smart Grid Reliability Pilot Project. Retrieved from: </w:t>
      </w:r>
      <w:hyperlink w:history="1" r:id="rId2">
        <w:r w:rsidRPr="00087014">
          <w:rPr>
            <w:rStyle w:val="Hyperlink"/>
            <w:rFonts w:eastAsia="Arial" w:cs="Arial"/>
            <w:sz w:val="18"/>
            <w:szCs w:val="18"/>
          </w:rPr>
          <w:t>https://neep.org/sites/default/files/resources/FINAL_Boothbay%20Pilot%20Report_20160119.pdf</w:t>
        </w:r>
      </w:hyperlink>
      <w:r w:rsidRPr="00087014">
        <w:rPr>
          <w:rFonts w:eastAsia="Arial" w:cs="Arial"/>
          <w:sz w:val="18"/>
          <w:szCs w:val="18"/>
        </w:rPr>
        <w:t xml:space="preserve"> </w:t>
      </w:r>
    </w:p>
  </w:footnote>
  <w:footnote w:id="7">
    <w:p w:rsidRPr="00087014" w:rsidR="00255663" w:rsidP="00A4227D" w:rsidRDefault="00255663" w14:paraId="284B7EAD" w14:textId="4D7D2014">
      <w:pPr>
        <w:pStyle w:val="FootnoteText"/>
        <w:rPr>
          <w:rFonts w:cs="Arial"/>
          <w:sz w:val="18"/>
          <w:szCs w:val="18"/>
        </w:rPr>
      </w:pPr>
      <w:r w:rsidRPr="00087014">
        <w:rPr>
          <w:rStyle w:val="FootnoteReference"/>
          <w:rFonts w:eastAsia="Arial" w:cs="Arial"/>
          <w:sz w:val="18"/>
          <w:szCs w:val="18"/>
        </w:rPr>
        <w:footnoteRef/>
      </w:r>
      <w:r w:rsidRPr="00087014">
        <w:rPr>
          <w:rFonts w:eastAsia="Arial" w:cs="Arial"/>
          <w:sz w:val="18"/>
          <w:szCs w:val="18"/>
        </w:rPr>
        <w:t xml:space="preserve"> Chew, B., Myers, E., Adolf, T., Thomas, E. (2018, November). Non-Wires Alternatives: Case Studies from Leading U.S. Projects. E4theFuture, PLMA, SEPA. Retrieved from: </w:t>
      </w:r>
      <w:hyperlink w:history="1" r:id="rId3">
        <w:r w:rsidRPr="00087014">
          <w:rPr>
            <w:rStyle w:val="Hyperlink"/>
            <w:rFonts w:eastAsia="Arial" w:cs="Arial"/>
            <w:sz w:val="18"/>
            <w:szCs w:val="18"/>
          </w:rPr>
          <w:t>https://sepapower.org/resource/non-wires-alternatives-case-studies-from-leading-u-s-projects/</w:t>
        </w:r>
      </w:hyperlink>
      <w:r w:rsidRPr="00087014">
        <w:rPr>
          <w:rFonts w:eastAsia="Arial" w:cs="Arial"/>
          <w:sz w:val="18"/>
          <w:szCs w:val="18"/>
        </w:rPr>
        <w:t>, p</w:t>
      </w:r>
      <w:r w:rsidR="00C32061">
        <w:rPr>
          <w:rFonts w:eastAsia="Arial" w:cs="Arial"/>
          <w:sz w:val="18"/>
          <w:szCs w:val="18"/>
        </w:rPr>
        <w:t>p.</w:t>
      </w:r>
      <w:r w:rsidRPr="00087014">
        <w:rPr>
          <w:rFonts w:eastAsia="Arial" w:cs="Arial"/>
          <w:sz w:val="18"/>
          <w:szCs w:val="18"/>
        </w:rPr>
        <w:t xml:space="preserve"> 53-55.</w:t>
      </w:r>
    </w:p>
  </w:footnote>
  <w:footnote w:id="8">
    <w:p w:rsidRPr="00087014" w:rsidR="00255663" w:rsidP="00D276CD" w:rsidRDefault="00255663" w14:paraId="137B91F4" w14:textId="4FDE3BD7">
      <w:pPr>
        <w:pStyle w:val="FootnoteText"/>
        <w:rPr>
          <w:rFonts w:cs="Arial"/>
          <w:sz w:val="18"/>
          <w:szCs w:val="18"/>
        </w:rPr>
      </w:pPr>
      <w:r w:rsidRPr="00087014">
        <w:rPr>
          <w:rStyle w:val="FootnoteReference"/>
          <w:rFonts w:cs="Arial"/>
          <w:sz w:val="18"/>
          <w:szCs w:val="18"/>
        </w:rPr>
        <w:footnoteRef/>
      </w:r>
      <w:r w:rsidRPr="00087014">
        <w:rPr>
          <w:rFonts w:cs="Arial"/>
          <w:sz w:val="18"/>
          <w:szCs w:val="18"/>
        </w:rPr>
        <w:t xml:space="preserve"> Specifically, in the 2018 Comprehensive Energy Strategy (CES), DEEP recommended that “PURA should explore the feasibility of requiring the EDCs to conduct an alternatives analysis in distribution-system planning.”  The 2018 CES further elaborated that “[a]ny such analysis should open and transparent and should explore the role that third parties could play in distribution system planning while simultaneously maximizing ratepayer savings.”</w:t>
      </w:r>
    </w:p>
  </w:footnote>
  <w:footnote w:id="9">
    <w:p w:rsidRPr="00A75E2F" w:rsidR="00255663" w:rsidP="001C1FFA" w:rsidRDefault="00255663" w14:paraId="54687B1C" w14:textId="74C50D29">
      <w:pPr>
        <w:rPr>
          <w:rStyle w:val="fontstyle01"/>
          <w:rFonts w:ascii="Arial" w:hAnsi="Arial" w:cs="Arial"/>
          <w:sz w:val="18"/>
          <w:szCs w:val="18"/>
        </w:rPr>
      </w:pPr>
      <w:r w:rsidRPr="00A75E2F">
        <w:rPr>
          <w:rStyle w:val="FootnoteReference"/>
          <w:rFonts w:eastAsia="Arial" w:cs="Arial"/>
          <w:sz w:val="18"/>
          <w:szCs w:val="18"/>
        </w:rPr>
        <w:footnoteRef/>
      </w:r>
      <w:r w:rsidRPr="00A75E2F">
        <w:rPr>
          <w:rFonts w:ascii="Arial" w:hAnsi="Arial" w:eastAsia="Arial" w:cs="Arial"/>
          <w:sz w:val="18"/>
          <w:szCs w:val="18"/>
        </w:rPr>
        <w:t xml:space="preserve"> As with the </w:t>
      </w:r>
      <w:r w:rsidRPr="00A75E2F">
        <w:rPr>
          <w:rStyle w:val="fontstyle01"/>
          <w:rFonts w:ascii="Arial" w:hAnsi="Arial" w:eastAsia="Arial" w:cs="Arial"/>
          <w:sz w:val="18"/>
          <w:szCs w:val="18"/>
        </w:rPr>
        <w:t>Third-Party Administrator and third parties</w:t>
      </w:r>
      <w:r w:rsidRPr="00A75E2F">
        <w:rPr>
          <w:rFonts w:ascii="Arial" w:hAnsi="Arial" w:eastAsia="Arial" w:cs="Arial"/>
          <w:sz w:val="18"/>
          <w:szCs w:val="18"/>
        </w:rPr>
        <w:t xml:space="preserve">, </w:t>
      </w:r>
      <w:r w:rsidRPr="00A75E2F">
        <w:rPr>
          <w:rStyle w:val="fontstyle01"/>
          <w:rFonts w:ascii="Arial" w:hAnsi="Arial" w:eastAsia="Arial" w:cs="Arial"/>
          <w:sz w:val="18"/>
          <w:szCs w:val="18"/>
        </w:rPr>
        <w:t>as necessary and consistent with law, any independent NWA distribution engineer may need to execute non-disclosure agreements (NDA’s) and confidential energy infrastructure information (CEII) agreements to review EDC’s projections of distribution engineering, any data requested, data on violations, projected needs and violations, and EDC proposed solutions.</w:t>
      </w:r>
    </w:p>
    <w:p w:rsidRPr="00A75E2F" w:rsidR="00255663" w:rsidP="5FD9357B" w:rsidRDefault="00255663" w14:paraId="4747B877" w14:textId="77777777">
      <w:pPr>
        <w:pStyle w:val="FootnoteText"/>
        <w:rPr>
          <w:rFonts w:cs="Arial"/>
          <w:sz w:val="18"/>
          <w:szCs w:val="18"/>
        </w:rPr>
      </w:pPr>
    </w:p>
  </w:footnote>
  <w:footnote w:id="10">
    <w:p w:rsidRPr="00A75E2F" w:rsidR="00255663" w:rsidP="00D34385" w:rsidRDefault="00255663" w14:paraId="57C44D98" w14:textId="69F51F60">
      <w:pPr>
        <w:pStyle w:val="FootnoteText"/>
        <w:rPr>
          <w:rFonts w:eastAsia="Arial" w:cs="Arial"/>
          <w:sz w:val="18"/>
          <w:szCs w:val="18"/>
        </w:rPr>
      </w:pPr>
      <w:r w:rsidRPr="00A75E2F">
        <w:rPr>
          <w:rStyle w:val="FootnoteReference"/>
          <w:rFonts w:eastAsia="Arial" w:cs="Arial"/>
          <w:sz w:val="18"/>
          <w:szCs w:val="18"/>
        </w:rPr>
        <w:footnoteRef/>
      </w:r>
      <w:r w:rsidRPr="00A75E2F">
        <w:rPr>
          <w:rFonts w:eastAsia="Arial" w:cs="Arial"/>
          <w:sz w:val="18"/>
          <w:szCs w:val="18"/>
        </w:rPr>
        <w:t xml:space="preserve"> Eversource, Draft NWA Framework, Version 2.0, 2021; UI Written Comments, Dock. No. 17-12-03RE07, Nov. 13, 2020.</w:t>
      </w:r>
    </w:p>
  </w:footnote>
  <w:footnote w:id="11">
    <w:p w:rsidRPr="00A75E2F" w:rsidR="00255663" w:rsidRDefault="00255663" w14:paraId="453140A2" w14:textId="5BBE4879">
      <w:pPr>
        <w:pStyle w:val="FootnoteText"/>
        <w:rPr>
          <w:rFonts w:cs="Arial"/>
          <w:sz w:val="18"/>
          <w:szCs w:val="18"/>
        </w:rPr>
      </w:pPr>
      <w:r w:rsidRPr="00A75E2F">
        <w:rPr>
          <w:rStyle w:val="FootnoteReference"/>
          <w:rFonts w:cs="Arial"/>
          <w:sz w:val="18"/>
          <w:szCs w:val="18"/>
        </w:rPr>
        <w:footnoteRef/>
      </w:r>
      <w:r w:rsidRPr="00A75E2F">
        <w:rPr>
          <w:rFonts w:cs="Arial"/>
          <w:sz w:val="18"/>
          <w:szCs w:val="18"/>
        </w:rPr>
        <w:t xml:space="preserve"> See, for example, Maine, Rhode Island</w:t>
      </w:r>
      <w:r w:rsidRPr="00087014">
        <w:rPr>
          <w:rFonts w:cs="Arial"/>
          <w:sz w:val="18"/>
          <w:szCs w:val="18"/>
        </w:rPr>
        <w:t>,</w:t>
      </w:r>
      <w:r w:rsidRPr="00A75E2F">
        <w:rPr>
          <w:rFonts w:cs="Arial"/>
          <w:sz w:val="18"/>
          <w:szCs w:val="18"/>
        </w:rPr>
        <w:t xml:space="preserve"> and Michigan examples as cited in Appendix A. </w:t>
      </w:r>
    </w:p>
  </w:footnote>
  <w:footnote w:id="12">
    <w:p w:rsidRPr="00A75E2F" w:rsidR="00255663" w:rsidP="5FD9357B" w:rsidRDefault="00255663" w14:paraId="7A4906D4" w14:textId="15C01772">
      <w:pPr>
        <w:pStyle w:val="FootnoteText"/>
        <w:rPr>
          <w:rFonts w:cs="Arial"/>
          <w:sz w:val="18"/>
          <w:szCs w:val="18"/>
        </w:rPr>
      </w:pPr>
      <w:r w:rsidRPr="00A75E2F">
        <w:rPr>
          <w:rStyle w:val="FootnoteReference"/>
          <w:rFonts w:cs="Arial"/>
          <w:sz w:val="18"/>
          <w:szCs w:val="18"/>
        </w:rPr>
        <w:footnoteRef/>
      </w:r>
      <w:r w:rsidRPr="00A75E2F">
        <w:rPr>
          <w:rFonts w:eastAsia="Arial" w:cs="Arial"/>
          <w:sz w:val="18"/>
          <w:szCs w:val="18"/>
        </w:rPr>
        <w:t xml:space="preserve"> Submitted by DEEP as Attachment 5 to RSR-2.</w:t>
      </w:r>
    </w:p>
  </w:footnote>
  <w:footnote w:id="13">
    <w:p w:rsidRPr="00A75E2F" w:rsidR="00255663" w:rsidRDefault="00255663" w14:paraId="7F1D5E21" w14:textId="09DDC0B2">
      <w:pPr>
        <w:pStyle w:val="FootnoteText"/>
        <w:rPr>
          <w:rFonts w:cs="Arial"/>
          <w:sz w:val="18"/>
          <w:szCs w:val="18"/>
        </w:rPr>
      </w:pPr>
      <w:r w:rsidRPr="00A75E2F">
        <w:rPr>
          <w:rStyle w:val="FootnoteReference"/>
          <w:rFonts w:cs="Arial"/>
          <w:sz w:val="18"/>
          <w:szCs w:val="18"/>
        </w:rPr>
        <w:footnoteRef/>
      </w:r>
      <w:r w:rsidRPr="00A75E2F">
        <w:rPr>
          <w:rFonts w:cs="Arial"/>
          <w:sz w:val="18"/>
          <w:szCs w:val="18"/>
        </w:rPr>
        <w:t xml:space="preserve"> DEEP Response to RSR-2.</w:t>
      </w:r>
    </w:p>
  </w:footnote>
  <w:footnote w:id="14">
    <w:p w:rsidRPr="00087014" w:rsidR="00255663" w:rsidRDefault="00255663" w14:paraId="6B594304" w14:textId="54447FFF">
      <w:pPr>
        <w:pStyle w:val="FootnoteText"/>
        <w:rPr>
          <w:rFonts w:cs="Arial"/>
          <w:sz w:val="18"/>
          <w:szCs w:val="18"/>
        </w:rPr>
      </w:pPr>
      <w:r w:rsidRPr="00087014">
        <w:rPr>
          <w:rStyle w:val="FootnoteReference"/>
          <w:rFonts w:cs="Arial"/>
          <w:sz w:val="18"/>
          <w:szCs w:val="18"/>
        </w:rPr>
        <w:footnoteRef/>
      </w:r>
      <w:r w:rsidRPr="00087014">
        <w:rPr>
          <w:rFonts w:cs="Arial"/>
          <w:sz w:val="18"/>
          <w:szCs w:val="18"/>
        </w:rPr>
        <w:t xml:space="preserve"> PURA approved a similar consideration of multiple cost-benefit tests, including an expansion of the non-energy benefits included in such tests in Docket No. 17-12-03RE03, </w:t>
      </w:r>
      <w:r w:rsidRPr="00A75E2F">
        <w:rPr>
          <w:rFonts w:cs="Arial"/>
          <w:sz w:val="18"/>
          <w:szCs w:val="18"/>
          <w:u w:val="single"/>
        </w:rPr>
        <w:t>PURA Investigation into Distribution System Planning of the Electric Distribution Companies –Electric Storage</w:t>
      </w:r>
      <w:r w:rsidRPr="00087014">
        <w:rPr>
          <w:rFonts w:cs="Arial"/>
          <w:sz w:val="18"/>
          <w:szCs w:val="18"/>
        </w:rPr>
        <w:t>, for the Electric Storage Program authorized in the Decision dated July 2</w:t>
      </w:r>
      <w:r w:rsidR="000C1974">
        <w:rPr>
          <w:rFonts w:cs="Arial"/>
          <w:sz w:val="18"/>
          <w:szCs w:val="18"/>
        </w:rPr>
        <w:t>8</w:t>
      </w:r>
      <w:r w:rsidRPr="00087014">
        <w:rPr>
          <w:rFonts w:cs="Arial"/>
          <w:sz w:val="18"/>
          <w:szCs w:val="18"/>
        </w:rPr>
        <w:t>, 2021.</w:t>
      </w:r>
    </w:p>
  </w:footnote>
  <w:footnote w:id="15">
    <w:p w:rsidRPr="00A75E2F" w:rsidR="00255663" w:rsidP="5FD9357B" w:rsidRDefault="00255663" w14:paraId="65B3CF0B" w14:textId="62EF4695">
      <w:pPr>
        <w:pStyle w:val="FootnoteText"/>
        <w:rPr>
          <w:rFonts w:cs="Arial"/>
          <w:sz w:val="18"/>
          <w:szCs w:val="18"/>
        </w:rPr>
      </w:pPr>
      <w:r w:rsidRPr="00A75E2F">
        <w:rPr>
          <w:rStyle w:val="FootnoteReference"/>
          <w:rFonts w:eastAsia="Arial" w:cs="Arial"/>
          <w:sz w:val="18"/>
          <w:szCs w:val="18"/>
        </w:rPr>
        <w:footnoteRef/>
      </w:r>
      <w:r w:rsidRPr="00A75E2F">
        <w:rPr>
          <w:rFonts w:eastAsia="Arial" w:cs="Arial"/>
          <w:sz w:val="18"/>
          <w:szCs w:val="18"/>
        </w:rPr>
        <w:t xml:space="preserve"> </w:t>
      </w:r>
      <w:r w:rsidRPr="00A75E2F">
        <w:rPr>
          <w:rStyle w:val="fontstyle01"/>
          <w:rFonts w:ascii="Arial" w:hAnsi="Arial" w:eastAsia="Arial" w:cs="Arial"/>
          <w:sz w:val="18"/>
          <w:szCs w:val="18"/>
        </w:rPr>
        <w:t>The wholesale market function value is to some extent reliant on ISO-NE, NEPOOL</w:t>
      </w:r>
      <w:r w:rsidRPr="00087014">
        <w:rPr>
          <w:rStyle w:val="fontstyle01"/>
          <w:rFonts w:ascii="Arial" w:hAnsi="Arial" w:eastAsia="Arial" w:cs="Arial"/>
          <w:sz w:val="18"/>
          <w:szCs w:val="18"/>
        </w:rPr>
        <w:t>,</w:t>
      </w:r>
      <w:r w:rsidRPr="00A75E2F">
        <w:rPr>
          <w:rStyle w:val="fontstyle01"/>
          <w:rFonts w:ascii="Arial" w:hAnsi="Arial" w:eastAsia="Arial" w:cs="Arial"/>
          <w:sz w:val="18"/>
          <w:szCs w:val="18"/>
        </w:rPr>
        <w:t xml:space="preserve"> and ultimate tariff rules adopted under Order 2222</w:t>
      </w:r>
      <w:r w:rsidRPr="00087014">
        <w:rPr>
          <w:rStyle w:val="fontstyle01"/>
          <w:rFonts w:ascii="Arial" w:hAnsi="Arial" w:eastAsia="Arial" w:cs="Arial"/>
          <w:sz w:val="18"/>
          <w:szCs w:val="18"/>
        </w:rPr>
        <w:t>,</w:t>
      </w:r>
      <w:r w:rsidRPr="00A75E2F">
        <w:rPr>
          <w:rStyle w:val="fontstyle01"/>
          <w:rFonts w:ascii="Arial" w:hAnsi="Arial" w:eastAsia="Arial" w:cs="Arial"/>
          <w:sz w:val="18"/>
          <w:szCs w:val="18"/>
        </w:rPr>
        <w:t xml:space="preserve"> but even if not allowed due to </w:t>
      </w:r>
      <w:r w:rsidRPr="00087014">
        <w:rPr>
          <w:rStyle w:val="fontstyle01"/>
          <w:rFonts w:ascii="Arial" w:hAnsi="Arial" w:eastAsia="Arial" w:cs="Arial"/>
          <w:sz w:val="18"/>
          <w:szCs w:val="18"/>
        </w:rPr>
        <w:t xml:space="preserve">the </w:t>
      </w:r>
      <w:r w:rsidRPr="00A75E2F">
        <w:rPr>
          <w:rStyle w:val="fontstyle01"/>
          <w:rFonts w:ascii="Arial" w:hAnsi="Arial" w:eastAsia="Arial" w:cs="Arial"/>
          <w:sz w:val="18"/>
          <w:szCs w:val="18"/>
        </w:rPr>
        <w:t>ISO-NE tariff limiting sharing of wholesale market resources for retail and customer value, the Authority would still encourage use case stacking of NWA DERs including batteries, EV</w:t>
      </w:r>
      <w:r w:rsidRPr="00087014">
        <w:rPr>
          <w:rStyle w:val="fontstyle01"/>
          <w:rFonts w:ascii="Arial" w:hAnsi="Arial" w:eastAsia="Arial" w:cs="Arial"/>
          <w:sz w:val="18"/>
          <w:szCs w:val="18"/>
        </w:rPr>
        <w:t>,</w:t>
      </w:r>
      <w:r w:rsidRPr="00A75E2F">
        <w:rPr>
          <w:rStyle w:val="fontstyle01"/>
          <w:rFonts w:ascii="Arial" w:hAnsi="Arial" w:eastAsia="Arial" w:cs="Arial"/>
          <w:sz w:val="18"/>
          <w:szCs w:val="18"/>
        </w:rPr>
        <w:t xml:space="preserve"> and other demand-side resources.</w:t>
      </w:r>
    </w:p>
  </w:footnote>
  <w:footnote w:id="16">
    <w:p w:rsidRPr="00087014" w:rsidR="00255663" w:rsidP="5FD9357B" w:rsidRDefault="00255663" w14:paraId="324A0E70" w14:textId="042654A4">
      <w:pPr>
        <w:rPr>
          <w:rFonts w:ascii="Arial" w:hAnsi="Arial" w:cs="Arial"/>
          <w:sz w:val="18"/>
          <w:szCs w:val="18"/>
        </w:rPr>
      </w:pPr>
      <w:r w:rsidRPr="00A75E2F">
        <w:rPr>
          <w:rStyle w:val="FootnoteReference"/>
          <w:rFonts w:eastAsia="Arial" w:cs="Arial"/>
          <w:sz w:val="18"/>
          <w:szCs w:val="18"/>
        </w:rPr>
        <w:footnoteRef/>
      </w:r>
      <w:r w:rsidRPr="00A75E2F">
        <w:rPr>
          <w:rFonts w:ascii="Arial" w:hAnsi="Arial" w:eastAsia="Arial" w:cs="Arial"/>
          <w:sz w:val="18"/>
          <w:szCs w:val="18"/>
        </w:rPr>
        <w:t xml:space="preserve"> </w:t>
      </w:r>
      <w:r w:rsidRPr="00A75E2F">
        <w:rPr>
          <w:rFonts w:ascii="Arial" w:hAnsi="Arial" w:eastAsia="Arial" w:cs="Arial"/>
          <w:color w:val="000000" w:themeColor="text1"/>
          <w:sz w:val="18"/>
          <w:szCs w:val="18"/>
        </w:rPr>
        <w:t xml:space="preserve">Major storms are defined in Docket No. 86-12-03, dated March 22, 1995, p. 2. The “major storm exclusion criterion [that] is based on a statistical analysis of the most recent four calendar years of reliability data. A cumulative frequency distribution of the number of locations requiring service restoration work per day would be calculated for this </w:t>
      </w:r>
      <w:proofErr w:type="gramStart"/>
      <w:r w:rsidRPr="00A75E2F">
        <w:rPr>
          <w:rFonts w:ascii="Arial" w:hAnsi="Arial" w:eastAsia="Arial" w:cs="Arial"/>
          <w:color w:val="000000" w:themeColor="text1"/>
          <w:sz w:val="18"/>
          <w:szCs w:val="18"/>
        </w:rPr>
        <w:t>four year</w:t>
      </w:r>
      <w:proofErr w:type="gramEnd"/>
      <w:r w:rsidRPr="00A75E2F">
        <w:rPr>
          <w:rFonts w:ascii="Arial" w:hAnsi="Arial" w:eastAsia="Arial" w:cs="Arial"/>
          <w:color w:val="000000" w:themeColor="text1"/>
          <w:sz w:val="18"/>
          <w:szCs w:val="18"/>
        </w:rPr>
        <w:t xml:space="preserve"> period. Whenever the frequency of restoration work locations exceeds the 98.5 percentile, by company and/or region, the major storm criterion would be met.”</w:t>
      </w:r>
    </w:p>
  </w:footnote>
  <w:footnote w:id="17">
    <w:p w:rsidRPr="00087014" w:rsidR="00255663" w:rsidRDefault="00255663" w14:paraId="15B6E85B" w14:textId="1719E074">
      <w:pPr>
        <w:pStyle w:val="FootnoteText"/>
        <w:rPr>
          <w:rFonts w:cs="Arial"/>
          <w:sz w:val="18"/>
          <w:szCs w:val="18"/>
        </w:rPr>
      </w:pPr>
      <w:r w:rsidRPr="00087014">
        <w:rPr>
          <w:rStyle w:val="FootnoteReference"/>
          <w:rFonts w:cs="Arial"/>
          <w:sz w:val="18"/>
          <w:szCs w:val="18"/>
        </w:rPr>
        <w:footnoteRef/>
      </w:r>
      <w:r w:rsidRPr="00087014">
        <w:rPr>
          <w:rFonts w:cs="Arial"/>
          <w:sz w:val="18"/>
          <w:szCs w:val="18"/>
        </w:rPr>
        <w:t xml:space="preserve"> The Authority understand</w:t>
      </w:r>
      <w:r w:rsidR="00DB211C">
        <w:rPr>
          <w:rFonts w:cs="Arial"/>
          <w:sz w:val="18"/>
          <w:szCs w:val="18"/>
        </w:rPr>
        <w:t>s</w:t>
      </w:r>
      <w:r w:rsidRPr="00087014">
        <w:rPr>
          <w:rFonts w:cs="Arial"/>
          <w:sz w:val="18"/>
          <w:szCs w:val="18"/>
        </w:rPr>
        <w:t xml:space="preserve"> </w:t>
      </w:r>
      <w:proofErr w:type="gramStart"/>
      <w:r w:rsidRPr="00087014">
        <w:rPr>
          <w:rFonts w:cs="Arial"/>
          <w:sz w:val="18"/>
          <w:szCs w:val="18"/>
        </w:rPr>
        <w:t>this criteria</w:t>
      </w:r>
      <w:proofErr w:type="gramEnd"/>
      <w:r w:rsidRPr="00087014">
        <w:rPr>
          <w:rFonts w:cs="Arial"/>
          <w:sz w:val="18"/>
          <w:szCs w:val="18"/>
        </w:rPr>
        <w:t xml:space="preserve"> to be similar to that currently employed in New York state.</w:t>
      </w:r>
    </w:p>
  </w:footnote>
  <w:footnote w:id="18">
    <w:p w:rsidRPr="00087014" w:rsidR="00255663" w:rsidRDefault="00255663" w14:paraId="54B14FE9" w14:textId="5BF525B2">
      <w:pPr>
        <w:pStyle w:val="FootnoteText"/>
        <w:rPr>
          <w:rFonts w:cs="Arial"/>
          <w:sz w:val="18"/>
          <w:szCs w:val="18"/>
        </w:rPr>
      </w:pPr>
      <w:r w:rsidRPr="00087014">
        <w:rPr>
          <w:rStyle w:val="FootnoteReference"/>
          <w:rFonts w:cs="Arial"/>
          <w:sz w:val="18"/>
          <w:szCs w:val="18"/>
        </w:rPr>
        <w:footnoteRef/>
      </w:r>
      <w:r w:rsidRPr="00087014">
        <w:rPr>
          <w:rFonts w:cs="Arial"/>
          <w:sz w:val="18"/>
          <w:szCs w:val="18"/>
        </w:rPr>
        <w:t xml:space="preserve"> </w:t>
      </w:r>
      <w:r w:rsidRPr="00087014">
        <w:rPr>
          <w:rFonts w:eastAsia="Arial" w:cs="Arial"/>
          <w:sz w:val="18"/>
          <w:szCs w:val="18"/>
        </w:rPr>
        <w:t xml:space="preserve">Comments of Northeast Clean Energy Council and Renew Northeast, Re: Docket No. 17-12-03RE07, PURA Investigation into Distribution System Planning of the Electric Distribution Companies – Non-Wires Alternatives, Nov. 13, 2020, *NECEC and RENEW Nov. 13, 2020 </w:t>
      </w:r>
      <w:proofErr w:type="gramStart"/>
      <w:r w:rsidRPr="00087014">
        <w:rPr>
          <w:rFonts w:eastAsia="Arial" w:cs="Arial"/>
          <w:sz w:val="18"/>
          <w:szCs w:val="18"/>
        </w:rPr>
        <w:t>Comments“</w:t>
      </w:r>
      <w:proofErr w:type="gramEnd"/>
      <w:r w:rsidRPr="00087014">
        <w:rPr>
          <w:rFonts w:eastAsia="Arial" w:cs="Arial"/>
          <w:sz w:val="18"/>
          <w:szCs w:val="18"/>
        </w:rPr>
        <w:t>), p. 2.</w:t>
      </w:r>
    </w:p>
  </w:footnote>
  <w:footnote w:id="19">
    <w:p w:rsidRPr="00A75E2F" w:rsidR="00255663" w:rsidP="00D34385" w:rsidRDefault="00255663" w14:paraId="52BDDA9E" w14:textId="454EF282">
      <w:pPr>
        <w:pStyle w:val="FootnoteText"/>
        <w:rPr>
          <w:rFonts w:cs="Arial"/>
          <w:sz w:val="18"/>
          <w:szCs w:val="18"/>
        </w:rPr>
      </w:pPr>
      <w:r w:rsidRPr="00A75E2F">
        <w:rPr>
          <w:rStyle w:val="FootnoteReference"/>
          <w:rFonts w:eastAsia="Arial" w:cs="Arial"/>
          <w:sz w:val="18"/>
          <w:szCs w:val="18"/>
        </w:rPr>
        <w:footnoteRef/>
      </w:r>
      <w:r w:rsidRPr="00A75E2F">
        <w:rPr>
          <w:rFonts w:eastAsia="Arial" w:cs="Arial"/>
          <w:sz w:val="18"/>
          <w:szCs w:val="18"/>
        </w:rPr>
        <w:t xml:space="preserve"> </w:t>
      </w:r>
      <w:r w:rsidRPr="00A75E2F">
        <w:rPr>
          <w:rFonts w:eastAsia="Arial" w:cs="Arial"/>
          <w:i/>
          <w:iCs/>
          <w:sz w:val="18"/>
          <w:szCs w:val="18"/>
        </w:rPr>
        <w:t>Id.</w:t>
      </w:r>
    </w:p>
  </w:footnote>
  <w:footnote w:id="20">
    <w:p w:rsidRPr="00087014" w:rsidR="00255663" w:rsidRDefault="00255663" w14:paraId="76768DF6" w14:textId="14A8C06B">
      <w:pPr>
        <w:pStyle w:val="FootnoteText"/>
        <w:rPr>
          <w:rFonts w:cs="Arial"/>
          <w:sz w:val="18"/>
          <w:szCs w:val="18"/>
        </w:rPr>
      </w:pPr>
      <w:r w:rsidRPr="00087014">
        <w:rPr>
          <w:rStyle w:val="FootnoteReference"/>
          <w:rFonts w:cs="Arial"/>
          <w:sz w:val="18"/>
          <w:szCs w:val="18"/>
        </w:rPr>
        <w:footnoteRef/>
      </w:r>
      <w:r w:rsidRPr="00087014">
        <w:rPr>
          <w:rFonts w:cs="Arial"/>
          <w:sz w:val="18"/>
          <w:szCs w:val="18"/>
        </w:rPr>
        <w:t xml:space="preserve"> While the discussion herein is related to the use case stacking discussion in Section G above, Section M specifically addresses how PURA will consider qualification or disqualification of NWAs in other programs and/or markets. Section G discusses how such program and/or market participation will affect, and be factored into as appropriate, NWA valuation and project selection.</w:t>
      </w:r>
    </w:p>
  </w:footnote>
  <w:footnote w:id="21">
    <w:p w:rsidRPr="00A75E2F" w:rsidR="00255663" w:rsidRDefault="00255663" w14:paraId="2DD019F4" w14:textId="6E5DE3F1">
      <w:pPr>
        <w:pStyle w:val="FootnoteText"/>
        <w:rPr>
          <w:rFonts w:cs="Arial"/>
          <w:sz w:val="18"/>
          <w:szCs w:val="18"/>
        </w:rPr>
      </w:pPr>
      <w:r w:rsidRPr="00A75E2F">
        <w:rPr>
          <w:rStyle w:val="FootnoteReference"/>
          <w:rFonts w:cs="Arial"/>
          <w:sz w:val="18"/>
          <w:szCs w:val="18"/>
        </w:rPr>
        <w:footnoteRef/>
      </w:r>
      <w:r w:rsidRPr="00A75E2F">
        <w:rPr>
          <w:rFonts w:cs="Arial"/>
          <w:sz w:val="18"/>
          <w:szCs w:val="18"/>
        </w:rPr>
        <w:t xml:space="preserve"> See</w:t>
      </w:r>
      <w:r>
        <w:rPr>
          <w:rFonts w:cs="Arial"/>
          <w:sz w:val="18"/>
          <w:szCs w:val="18"/>
        </w:rPr>
        <w:t>,</w:t>
      </w:r>
      <w:r w:rsidRPr="00A75E2F">
        <w:rPr>
          <w:rFonts w:cs="Arial"/>
          <w:sz w:val="18"/>
          <w:szCs w:val="18"/>
        </w:rPr>
        <w:t xml:space="preserve"> Green Mountain Power (undated). Bring Your Own Device program. Retrieved from: </w:t>
      </w:r>
      <w:hyperlink w:history="1" r:id="rId4">
        <w:r w:rsidRPr="00A75E2F">
          <w:rPr>
            <w:rStyle w:val="Hyperlink"/>
            <w:rFonts w:cs="Arial"/>
            <w:sz w:val="18"/>
            <w:szCs w:val="18"/>
          </w:rPr>
          <w:t>https://greenmountainpower.com/rebates-programs/home-energy-storage/bring-your-own-device/</w:t>
        </w:r>
      </w:hyperlink>
      <w:r w:rsidRPr="00A75E2F">
        <w:rPr>
          <w:rFonts w:cs="Arial"/>
          <w:sz w:val="18"/>
          <w:szCs w:val="18"/>
        </w:rPr>
        <w:t xml:space="preserve"> </w:t>
      </w:r>
    </w:p>
  </w:footnote>
  <w:footnote w:id="22">
    <w:p w:rsidRPr="00A75E2F" w:rsidR="00255663" w:rsidP="00D34385" w:rsidRDefault="00255663" w14:paraId="101971B8" w14:textId="546D9B40">
      <w:pPr>
        <w:pStyle w:val="FootnoteText"/>
        <w:rPr>
          <w:rFonts w:cs="Arial"/>
          <w:sz w:val="18"/>
          <w:szCs w:val="18"/>
        </w:rPr>
      </w:pPr>
      <w:r w:rsidRPr="00A75E2F">
        <w:rPr>
          <w:rStyle w:val="FootnoteReference"/>
          <w:rFonts w:eastAsia="Arial" w:cs="Arial"/>
          <w:sz w:val="18"/>
          <w:szCs w:val="18"/>
        </w:rPr>
        <w:footnoteRef/>
      </w:r>
      <w:r w:rsidRPr="00A75E2F">
        <w:rPr>
          <w:rFonts w:eastAsia="Arial" w:cs="Arial"/>
          <w:sz w:val="18"/>
          <w:szCs w:val="18"/>
        </w:rPr>
        <w:t xml:space="preserve"> NECEC and RENEW NE Comments at pages 18 to 19 citing Advanced Energy Economy. Utility Earnings in a Service-Oriented World: Optimizing Incentives for Capital- and Service-Based Solutions (Jan. 2018).</w:t>
      </w:r>
    </w:p>
  </w:footnote>
  <w:footnote w:id="23">
    <w:p w:rsidRPr="00A75E2F" w:rsidR="00255663" w:rsidP="5FD9357B" w:rsidRDefault="00255663" w14:paraId="7E533EFE" w14:textId="1073A004">
      <w:pPr>
        <w:pStyle w:val="FootnoteText"/>
        <w:rPr>
          <w:rFonts w:cs="Arial"/>
          <w:sz w:val="18"/>
          <w:szCs w:val="18"/>
        </w:rPr>
      </w:pPr>
      <w:r w:rsidRPr="00A75E2F">
        <w:rPr>
          <w:rStyle w:val="FootnoteReference"/>
          <w:rFonts w:eastAsia="Arial" w:cs="Arial"/>
          <w:sz w:val="18"/>
          <w:szCs w:val="18"/>
        </w:rPr>
        <w:footnoteRef/>
      </w:r>
      <w:r w:rsidRPr="00A75E2F">
        <w:rPr>
          <w:rFonts w:eastAsia="Arial" w:cs="Arial"/>
          <w:sz w:val="18"/>
          <w:szCs w:val="18"/>
        </w:rPr>
        <w:t xml:space="preserve"> Chew, B., Myers, E., Adolf, T., Thomas, E. (2018, November). Non-Wires Alternatives: Case Studies from Leading U.S. Projects. E4theFuture, PLMA, SEPA. Retrieved from: </w:t>
      </w:r>
      <w:hyperlink w:history="1" r:id="rId5">
        <w:r w:rsidRPr="00A75E2F">
          <w:rPr>
            <w:rStyle w:val="Hyperlink"/>
            <w:rFonts w:eastAsia="Arial" w:cs="Arial"/>
            <w:sz w:val="18"/>
            <w:szCs w:val="18"/>
          </w:rPr>
          <w:t>https://sepapower.org/resource/non-wires-alternatives-case-studies-from-leading-u-s-projects/</w:t>
        </w:r>
      </w:hyperlink>
      <w:r w:rsidRPr="00A75E2F">
        <w:rPr>
          <w:rFonts w:eastAsia="Arial" w:cs="Arial"/>
          <w:sz w:val="18"/>
          <w:szCs w:val="18"/>
        </w:rPr>
        <w:t>, p</w:t>
      </w:r>
      <w:r w:rsidR="00A75E2F">
        <w:rPr>
          <w:rFonts w:eastAsia="Arial" w:cs="Arial"/>
          <w:sz w:val="18"/>
          <w:szCs w:val="18"/>
        </w:rPr>
        <w:t>p.</w:t>
      </w:r>
      <w:r w:rsidRPr="00A75E2F">
        <w:rPr>
          <w:rFonts w:eastAsia="Arial" w:cs="Arial"/>
          <w:sz w:val="18"/>
          <w:szCs w:val="18"/>
        </w:rPr>
        <w:t xml:space="preserve"> 53-55. </w:t>
      </w:r>
    </w:p>
  </w:footnote>
  <w:footnote w:id="24">
    <w:p w:rsidRPr="00087014" w:rsidR="00255663" w:rsidRDefault="00255663" w14:paraId="067E3FE5" w14:textId="3C206474">
      <w:pPr>
        <w:pStyle w:val="FootnoteText"/>
        <w:rPr>
          <w:rFonts w:cs="Arial"/>
          <w:sz w:val="18"/>
          <w:szCs w:val="18"/>
        </w:rPr>
      </w:pPr>
      <w:r w:rsidRPr="00087014">
        <w:rPr>
          <w:rStyle w:val="FootnoteReference"/>
          <w:rFonts w:cs="Arial"/>
          <w:sz w:val="18"/>
          <w:szCs w:val="18"/>
        </w:rPr>
        <w:footnoteRef/>
      </w:r>
      <w:r w:rsidRPr="00087014">
        <w:rPr>
          <w:rFonts w:cs="Arial"/>
          <w:sz w:val="18"/>
          <w:szCs w:val="18"/>
        </w:rPr>
        <w:t xml:space="preserve"> </w:t>
      </w:r>
      <w:r w:rsidRPr="00A75E2F">
        <w:rPr>
          <w:rFonts w:eastAsia="Arial" w:cs="Arial"/>
          <w:sz w:val="18"/>
          <w:szCs w:val="18"/>
        </w:rPr>
        <w:t xml:space="preserve">Buckley, B., Titus, E., and Walker, C. (2017) State Leadership Driving Non-Wires Alternative Projects and Policies. NEEP. Retrieved from: </w:t>
      </w:r>
      <w:hyperlink w:history="1" r:id="rId6">
        <w:r w:rsidRPr="00A75E2F">
          <w:rPr>
            <w:rStyle w:val="Hyperlink"/>
            <w:rFonts w:eastAsia="Arial" w:cs="Arial"/>
            <w:sz w:val="18"/>
            <w:szCs w:val="18"/>
          </w:rPr>
          <w:t>https://neep.org/sites/default/files/resources/NWA%20brief%20final%20draft%20-%20CT%20FORMAT.pdf</w:t>
        </w:r>
      </w:hyperlink>
    </w:p>
  </w:footnote>
  <w:footnote w:id="25">
    <w:p w:rsidRPr="00A75E2F" w:rsidR="00255663" w:rsidP="5FD9357B" w:rsidRDefault="00255663" w14:paraId="1110DA1F" w14:textId="77777777">
      <w:pPr>
        <w:pStyle w:val="FootnoteText"/>
        <w:rPr>
          <w:rFonts w:cs="Arial"/>
          <w:sz w:val="18"/>
          <w:szCs w:val="18"/>
        </w:rPr>
      </w:pPr>
      <w:r w:rsidRPr="00A75E2F">
        <w:rPr>
          <w:rStyle w:val="FootnoteReference"/>
          <w:rFonts w:eastAsia="Arial" w:cs="Arial"/>
          <w:sz w:val="18"/>
          <w:szCs w:val="18"/>
        </w:rPr>
        <w:footnoteRef/>
      </w:r>
      <w:r w:rsidRPr="00A75E2F">
        <w:rPr>
          <w:rFonts w:eastAsia="Arial" w:cs="Arial"/>
          <w:sz w:val="18"/>
          <w:szCs w:val="18"/>
        </w:rPr>
        <w:t xml:space="preserve"> Arizona Public Service (2018, January 19). Punkin Center Battery Storage Video. Retrieved from: </w:t>
      </w:r>
      <w:hyperlink w:history="1" r:id="rId7">
        <w:r w:rsidRPr="00A75E2F">
          <w:rPr>
            <w:rStyle w:val="Hyperlink"/>
            <w:rFonts w:eastAsia="Arial" w:cs="Arial"/>
            <w:sz w:val="18"/>
            <w:szCs w:val="18"/>
          </w:rPr>
          <w:t>https://www.youtube.com/watch?v=cjSRvaP7Ucg</w:t>
        </w:r>
      </w:hyperlink>
      <w:r w:rsidRPr="00A75E2F">
        <w:rPr>
          <w:rFonts w:eastAsia="Arial" w:cs="Arial"/>
          <w:sz w:val="18"/>
          <w:szCs w:val="18"/>
        </w:rPr>
        <w:t xml:space="preserve"> </w:t>
      </w:r>
    </w:p>
  </w:footnote>
  <w:footnote w:id="26">
    <w:p w:rsidRPr="00A75E2F" w:rsidR="00255663" w:rsidP="5FD9357B" w:rsidRDefault="00255663" w14:paraId="4E8C8198" w14:textId="77777777">
      <w:pPr>
        <w:pStyle w:val="FootnoteText"/>
        <w:rPr>
          <w:rFonts w:cs="Arial"/>
          <w:sz w:val="18"/>
          <w:szCs w:val="18"/>
        </w:rPr>
      </w:pPr>
      <w:r w:rsidRPr="00A75E2F">
        <w:rPr>
          <w:rStyle w:val="FootnoteReference"/>
          <w:rFonts w:eastAsia="Arial" w:cs="Arial"/>
          <w:sz w:val="18"/>
          <w:szCs w:val="18"/>
        </w:rPr>
        <w:footnoteRef/>
      </w:r>
      <w:r w:rsidRPr="00A75E2F">
        <w:rPr>
          <w:rFonts w:eastAsia="Arial" w:cs="Arial"/>
          <w:sz w:val="18"/>
          <w:szCs w:val="18"/>
        </w:rPr>
        <w:t xml:space="preserve"> Chew, B., Myers, E., Adolf, T., Thomas, E. (2018, November). Non-Wires Alternatives: Case Studies from Leading U.S. Projects. E4theFuture, PLMA, SEPA. Retrieved from: </w:t>
      </w:r>
      <w:hyperlink w:history="1" r:id="rId8">
        <w:r w:rsidRPr="00A75E2F">
          <w:rPr>
            <w:rStyle w:val="Hyperlink"/>
            <w:rFonts w:eastAsia="Arial" w:cs="Arial"/>
            <w:sz w:val="18"/>
            <w:szCs w:val="18"/>
          </w:rPr>
          <w:t>https://sepapower.org/resource/non-wires-alternatives-case-studies-from-leading-u-s-projects/</w:t>
        </w:r>
      </w:hyperlink>
    </w:p>
  </w:footnote>
  <w:footnote w:id="27">
    <w:p w:rsidRPr="00A75E2F" w:rsidR="00255663" w:rsidP="5FD9357B" w:rsidRDefault="00255663" w14:paraId="7F54961B" w14:textId="3ECE83C8">
      <w:pPr>
        <w:pStyle w:val="FootnoteText"/>
        <w:rPr>
          <w:rFonts w:cs="Arial"/>
          <w:sz w:val="18"/>
          <w:szCs w:val="18"/>
        </w:rPr>
      </w:pPr>
      <w:r w:rsidRPr="00A75E2F">
        <w:rPr>
          <w:rStyle w:val="FootnoteReference"/>
          <w:rFonts w:eastAsia="Arial" w:cs="Arial"/>
          <w:sz w:val="18"/>
          <w:szCs w:val="18"/>
        </w:rPr>
        <w:footnoteRef/>
      </w:r>
      <w:r w:rsidRPr="00A75E2F">
        <w:rPr>
          <w:rFonts w:eastAsia="Arial" w:cs="Arial"/>
          <w:sz w:val="18"/>
          <w:szCs w:val="18"/>
        </w:rPr>
        <w:t xml:space="preserve"> Chew et al, 2018, p</w:t>
      </w:r>
      <w:r w:rsidR="00A75E2F">
        <w:rPr>
          <w:rFonts w:eastAsia="Arial" w:cs="Arial"/>
          <w:sz w:val="18"/>
          <w:szCs w:val="18"/>
        </w:rPr>
        <w:t>.</w:t>
      </w:r>
      <w:r w:rsidRPr="00A75E2F">
        <w:rPr>
          <w:rFonts w:eastAsia="Arial" w:cs="Arial"/>
          <w:sz w:val="18"/>
          <w:szCs w:val="18"/>
        </w:rPr>
        <w:t xml:space="preserve"> 67</w:t>
      </w:r>
    </w:p>
  </w:footnote>
  <w:footnote w:id="28">
    <w:p w:rsidRPr="00A75E2F" w:rsidR="00255663" w:rsidP="5FD9357B" w:rsidRDefault="00255663" w14:paraId="6B0F8D9B" w14:textId="77777777">
      <w:pPr>
        <w:pStyle w:val="FootnoteText"/>
        <w:rPr>
          <w:rFonts w:cs="Arial"/>
          <w:sz w:val="18"/>
          <w:szCs w:val="18"/>
        </w:rPr>
      </w:pPr>
      <w:r w:rsidRPr="00A75E2F">
        <w:rPr>
          <w:rStyle w:val="FootnoteReference"/>
          <w:rFonts w:eastAsia="Arial" w:cs="Arial"/>
          <w:sz w:val="18"/>
          <w:szCs w:val="18"/>
        </w:rPr>
        <w:footnoteRef/>
      </w:r>
      <w:r w:rsidRPr="00A75E2F">
        <w:rPr>
          <w:rFonts w:eastAsia="Arial" w:cs="Arial"/>
          <w:sz w:val="18"/>
          <w:szCs w:val="18"/>
        </w:rPr>
        <w:t xml:space="preserve"> Buckley, B., Titus, E., and Walker, C. (2017) State Leadership Driving Non-Wires Alternative Projects and Policies. NEEP. Retrieved from: </w:t>
      </w:r>
      <w:hyperlink w:history="1" r:id="rId9">
        <w:r w:rsidRPr="00A75E2F">
          <w:rPr>
            <w:rStyle w:val="Hyperlink"/>
            <w:rFonts w:eastAsia="Arial" w:cs="Arial"/>
            <w:sz w:val="18"/>
            <w:szCs w:val="18"/>
          </w:rPr>
          <w:t>https://neep.org/sites/default/files/resources/NWA%20brief%20final%20draft%20-%20CT%20FORMAT.pdf</w:t>
        </w:r>
      </w:hyperlink>
      <w:r w:rsidRPr="00A75E2F">
        <w:rPr>
          <w:rFonts w:eastAsia="Arial" w:cs="Arial"/>
          <w:sz w:val="18"/>
          <w:szCs w:val="18"/>
        </w:rPr>
        <w:t xml:space="preserve"> </w:t>
      </w:r>
    </w:p>
  </w:footnote>
  <w:footnote w:id="29">
    <w:p w:rsidRPr="00A75E2F" w:rsidR="00255663" w:rsidP="5FD9357B" w:rsidRDefault="00255663" w14:paraId="4EB860A1" w14:textId="13A270B1">
      <w:pPr>
        <w:pStyle w:val="FootnoteText"/>
        <w:rPr>
          <w:rFonts w:cs="Arial"/>
          <w:sz w:val="18"/>
          <w:szCs w:val="18"/>
        </w:rPr>
      </w:pPr>
      <w:r w:rsidRPr="00A75E2F">
        <w:rPr>
          <w:rStyle w:val="FootnoteReference"/>
          <w:rFonts w:eastAsia="Arial" w:cs="Arial"/>
          <w:sz w:val="18"/>
          <w:szCs w:val="18"/>
        </w:rPr>
        <w:footnoteRef/>
      </w:r>
      <w:r w:rsidRPr="00A75E2F">
        <w:rPr>
          <w:rFonts w:eastAsia="Arial" w:cs="Arial"/>
          <w:sz w:val="18"/>
          <w:szCs w:val="18"/>
        </w:rPr>
        <w:t xml:space="preserve"> Chew et al, 2018, p</w:t>
      </w:r>
      <w:r w:rsidR="00A75E2F">
        <w:rPr>
          <w:rFonts w:eastAsia="Arial" w:cs="Arial"/>
          <w:sz w:val="18"/>
          <w:szCs w:val="18"/>
        </w:rPr>
        <w:t>.</w:t>
      </w:r>
      <w:r w:rsidRPr="00A75E2F">
        <w:rPr>
          <w:rFonts w:eastAsia="Arial" w:cs="Arial"/>
          <w:sz w:val="18"/>
          <w:szCs w:val="18"/>
        </w:rPr>
        <w:t xml:space="preserve"> 65.</w:t>
      </w:r>
    </w:p>
  </w:footnote>
  <w:footnote w:id="30">
    <w:p w:rsidRPr="00A75E2F" w:rsidR="00255663" w:rsidP="5FD9357B" w:rsidRDefault="00255663" w14:paraId="092143D8" w14:textId="59C9F264">
      <w:pPr>
        <w:pStyle w:val="FootnoteText"/>
        <w:rPr>
          <w:rFonts w:cs="Arial"/>
          <w:sz w:val="18"/>
          <w:szCs w:val="18"/>
        </w:rPr>
      </w:pPr>
      <w:r w:rsidRPr="00A75E2F">
        <w:rPr>
          <w:rStyle w:val="FootnoteReference"/>
          <w:rFonts w:eastAsia="Arial" w:cs="Arial"/>
          <w:sz w:val="18"/>
          <w:szCs w:val="18"/>
        </w:rPr>
        <w:footnoteRef/>
      </w:r>
      <w:r w:rsidRPr="00A75E2F">
        <w:rPr>
          <w:rFonts w:eastAsia="Arial" w:cs="Arial"/>
          <w:sz w:val="18"/>
          <w:szCs w:val="18"/>
        </w:rPr>
        <w:t xml:space="preserve"> Chew et al, 2018, p</w:t>
      </w:r>
      <w:r w:rsidR="00A75E2F">
        <w:rPr>
          <w:rFonts w:eastAsia="Arial" w:cs="Arial"/>
          <w:sz w:val="18"/>
          <w:szCs w:val="18"/>
        </w:rPr>
        <w:t>p.</w:t>
      </w:r>
      <w:r w:rsidRPr="00A75E2F">
        <w:rPr>
          <w:rFonts w:eastAsia="Arial" w:cs="Arial"/>
          <w:sz w:val="18"/>
          <w:szCs w:val="18"/>
        </w:rPr>
        <w:t xml:space="preserve"> 56-57.</w:t>
      </w:r>
    </w:p>
  </w:footnote>
  <w:footnote w:id="31">
    <w:p w:rsidRPr="00A75E2F" w:rsidR="00255663" w:rsidP="5FD9357B" w:rsidRDefault="00255663" w14:paraId="125FDAEE" w14:textId="3364DA18">
      <w:pPr>
        <w:pStyle w:val="FootnoteText"/>
        <w:rPr>
          <w:rFonts w:cs="Arial"/>
          <w:sz w:val="18"/>
          <w:szCs w:val="18"/>
        </w:rPr>
      </w:pPr>
      <w:r w:rsidRPr="00A75E2F">
        <w:rPr>
          <w:rStyle w:val="FootnoteReference"/>
          <w:rFonts w:eastAsia="Arial" w:cs="Arial"/>
          <w:sz w:val="18"/>
          <w:szCs w:val="18"/>
        </w:rPr>
        <w:footnoteRef/>
      </w:r>
      <w:r w:rsidRPr="00A75E2F">
        <w:rPr>
          <w:rFonts w:eastAsia="Arial" w:cs="Arial"/>
          <w:sz w:val="18"/>
          <w:szCs w:val="18"/>
        </w:rPr>
        <w:t xml:space="preserve"> Chew et al, 2018, p</w:t>
      </w:r>
      <w:r w:rsidR="00A75E2F">
        <w:rPr>
          <w:rFonts w:eastAsia="Arial" w:cs="Arial"/>
          <w:sz w:val="18"/>
          <w:szCs w:val="18"/>
        </w:rPr>
        <w:t>p.</w:t>
      </w:r>
      <w:r w:rsidRPr="00A75E2F">
        <w:rPr>
          <w:rFonts w:eastAsia="Arial" w:cs="Arial"/>
          <w:sz w:val="18"/>
          <w:szCs w:val="18"/>
        </w:rPr>
        <w:t xml:space="preserve"> 50-51. </w:t>
      </w:r>
    </w:p>
  </w:footnote>
  <w:footnote w:id="32">
    <w:p w:rsidRPr="00A75E2F" w:rsidR="00255663" w:rsidP="5FD9357B" w:rsidRDefault="00255663" w14:paraId="321BC25A" w14:textId="19393D7C">
      <w:pPr>
        <w:pStyle w:val="FootnoteText"/>
        <w:rPr>
          <w:rFonts w:cs="Arial"/>
          <w:sz w:val="18"/>
          <w:szCs w:val="18"/>
        </w:rPr>
      </w:pPr>
      <w:r w:rsidRPr="00A75E2F">
        <w:rPr>
          <w:rStyle w:val="FootnoteReference"/>
          <w:rFonts w:eastAsia="Arial" w:cs="Arial"/>
          <w:sz w:val="18"/>
          <w:szCs w:val="18"/>
        </w:rPr>
        <w:footnoteRef/>
      </w:r>
      <w:r w:rsidRPr="00A75E2F">
        <w:rPr>
          <w:rFonts w:eastAsia="Arial" w:cs="Arial"/>
          <w:sz w:val="18"/>
          <w:szCs w:val="18"/>
        </w:rPr>
        <w:t xml:space="preserve"> For more information</w:t>
      </w:r>
      <w:r>
        <w:rPr>
          <w:rFonts w:eastAsia="Arial" w:cs="Arial"/>
          <w:sz w:val="18"/>
          <w:szCs w:val="18"/>
        </w:rPr>
        <w:t>,</w:t>
      </w:r>
      <w:r w:rsidRPr="00A75E2F">
        <w:rPr>
          <w:rFonts w:eastAsia="Arial" w:cs="Arial"/>
          <w:sz w:val="18"/>
          <w:szCs w:val="18"/>
        </w:rPr>
        <w:t xml:space="preserve"> see</w:t>
      </w:r>
      <w:r>
        <w:rPr>
          <w:rFonts w:eastAsia="Arial" w:cs="Arial"/>
          <w:sz w:val="18"/>
          <w:szCs w:val="18"/>
        </w:rPr>
        <w:t>,</w:t>
      </w:r>
      <w:r w:rsidRPr="00A75E2F">
        <w:rPr>
          <w:rFonts w:eastAsia="Arial" w:cs="Arial"/>
          <w:sz w:val="18"/>
          <w:szCs w:val="18"/>
        </w:rPr>
        <w:t xml:space="preserve"> Vermont System Planning Committee at </w:t>
      </w:r>
      <w:hyperlink w:history="1" r:id="rId10">
        <w:r w:rsidRPr="00A75E2F">
          <w:rPr>
            <w:rStyle w:val="Hyperlink"/>
            <w:rFonts w:eastAsia="Arial" w:cs="Arial"/>
            <w:sz w:val="18"/>
            <w:szCs w:val="18"/>
          </w:rPr>
          <w:t>https://www.vermontspc.com/</w:t>
        </w:r>
      </w:hyperlink>
      <w:r w:rsidRPr="00A75E2F">
        <w:rPr>
          <w:rFonts w:eastAsia="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55663" w:rsidRDefault="00255663" w14:paraId="557B5C0D" w14:textId="67588A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B2C44"/>
    <w:multiLevelType w:val="hybridMultilevel"/>
    <w:tmpl w:val="DFB22F5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04B7980"/>
    <w:multiLevelType w:val="hybridMultilevel"/>
    <w:tmpl w:val="E766F1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D85DEB"/>
    <w:multiLevelType w:val="hybridMultilevel"/>
    <w:tmpl w:val="89120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ED7975"/>
    <w:multiLevelType w:val="hybridMultilevel"/>
    <w:tmpl w:val="FFFFFFFF"/>
    <w:lvl w:ilvl="0" w:tplc="B26428F0">
      <w:start w:val="1"/>
      <w:numFmt w:val="decimal"/>
      <w:lvlText w:val="%1."/>
      <w:lvlJc w:val="left"/>
      <w:pPr>
        <w:ind w:left="720" w:hanging="360"/>
      </w:pPr>
    </w:lvl>
    <w:lvl w:ilvl="1" w:tplc="F572D290">
      <w:start w:val="1"/>
      <w:numFmt w:val="lowerLetter"/>
      <w:lvlText w:val="%2."/>
      <w:lvlJc w:val="left"/>
      <w:pPr>
        <w:ind w:left="1440" w:hanging="360"/>
      </w:pPr>
    </w:lvl>
    <w:lvl w:ilvl="2" w:tplc="8F10ECFE">
      <w:start w:val="1"/>
      <w:numFmt w:val="lowerRoman"/>
      <w:lvlText w:val="%3."/>
      <w:lvlJc w:val="right"/>
      <w:pPr>
        <w:ind w:left="2160" w:hanging="180"/>
      </w:pPr>
    </w:lvl>
    <w:lvl w:ilvl="3" w:tplc="7CD097B2">
      <w:start w:val="1"/>
      <w:numFmt w:val="decimal"/>
      <w:lvlText w:val="%4."/>
      <w:lvlJc w:val="left"/>
      <w:pPr>
        <w:ind w:left="2880" w:hanging="360"/>
      </w:pPr>
    </w:lvl>
    <w:lvl w:ilvl="4" w:tplc="139CAA08">
      <w:start w:val="1"/>
      <w:numFmt w:val="lowerLetter"/>
      <w:lvlText w:val="%5."/>
      <w:lvlJc w:val="left"/>
      <w:pPr>
        <w:ind w:left="3600" w:hanging="360"/>
      </w:pPr>
    </w:lvl>
    <w:lvl w:ilvl="5" w:tplc="64FA511C">
      <w:start w:val="1"/>
      <w:numFmt w:val="lowerRoman"/>
      <w:lvlText w:val="%6."/>
      <w:lvlJc w:val="right"/>
      <w:pPr>
        <w:ind w:left="4320" w:hanging="180"/>
      </w:pPr>
    </w:lvl>
    <w:lvl w:ilvl="6" w:tplc="25BAA832">
      <w:start w:val="1"/>
      <w:numFmt w:val="decimal"/>
      <w:lvlText w:val="%7."/>
      <w:lvlJc w:val="left"/>
      <w:pPr>
        <w:ind w:left="5040" w:hanging="360"/>
      </w:pPr>
    </w:lvl>
    <w:lvl w:ilvl="7" w:tplc="2A44ED42">
      <w:start w:val="1"/>
      <w:numFmt w:val="lowerLetter"/>
      <w:lvlText w:val="%8."/>
      <w:lvlJc w:val="left"/>
      <w:pPr>
        <w:ind w:left="5760" w:hanging="360"/>
      </w:pPr>
    </w:lvl>
    <w:lvl w:ilvl="8" w:tplc="B4409402">
      <w:start w:val="1"/>
      <w:numFmt w:val="lowerRoman"/>
      <w:lvlText w:val="%9."/>
      <w:lvlJc w:val="right"/>
      <w:pPr>
        <w:ind w:left="6480" w:hanging="180"/>
      </w:pPr>
    </w:lvl>
  </w:abstractNum>
  <w:abstractNum w:abstractNumId="4" w15:restartNumberingAfterBreak="0">
    <w:nsid w:val="0431081A"/>
    <w:multiLevelType w:val="hybridMultilevel"/>
    <w:tmpl w:val="62AA8F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777B24"/>
    <w:multiLevelType w:val="hybridMultilevel"/>
    <w:tmpl w:val="FFFFFFFF"/>
    <w:lvl w:ilvl="0" w:tplc="BD18D43E">
      <w:start w:val="1"/>
      <w:numFmt w:val="bullet"/>
      <w:lvlText w:val=""/>
      <w:lvlJc w:val="left"/>
      <w:pPr>
        <w:ind w:left="720" w:hanging="360"/>
      </w:pPr>
      <w:rPr>
        <w:rFonts w:hint="default" w:ascii="Symbol" w:hAnsi="Symbol"/>
      </w:rPr>
    </w:lvl>
    <w:lvl w:ilvl="1" w:tplc="FBA6B1A0">
      <w:start w:val="1"/>
      <w:numFmt w:val="bullet"/>
      <w:lvlText w:val=""/>
      <w:lvlJc w:val="left"/>
      <w:pPr>
        <w:ind w:left="1440" w:hanging="360"/>
      </w:pPr>
      <w:rPr>
        <w:rFonts w:hint="default" w:ascii="Symbol" w:hAnsi="Symbol"/>
      </w:rPr>
    </w:lvl>
    <w:lvl w:ilvl="2" w:tplc="DE3EA88A">
      <w:start w:val="1"/>
      <w:numFmt w:val="bullet"/>
      <w:lvlText w:val=""/>
      <w:lvlJc w:val="left"/>
      <w:pPr>
        <w:ind w:left="2160" w:hanging="360"/>
      </w:pPr>
      <w:rPr>
        <w:rFonts w:hint="default" w:ascii="Wingdings" w:hAnsi="Wingdings"/>
      </w:rPr>
    </w:lvl>
    <w:lvl w:ilvl="3" w:tplc="61A46826">
      <w:start w:val="1"/>
      <w:numFmt w:val="bullet"/>
      <w:lvlText w:val=""/>
      <w:lvlJc w:val="left"/>
      <w:pPr>
        <w:ind w:left="2880" w:hanging="360"/>
      </w:pPr>
      <w:rPr>
        <w:rFonts w:hint="default" w:ascii="Symbol" w:hAnsi="Symbol"/>
      </w:rPr>
    </w:lvl>
    <w:lvl w:ilvl="4" w:tplc="09184A96">
      <w:start w:val="1"/>
      <w:numFmt w:val="bullet"/>
      <w:lvlText w:val="o"/>
      <w:lvlJc w:val="left"/>
      <w:pPr>
        <w:ind w:left="3600" w:hanging="360"/>
      </w:pPr>
      <w:rPr>
        <w:rFonts w:hint="default" w:ascii="Courier New" w:hAnsi="Courier New"/>
      </w:rPr>
    </w:lvl>
    <w:lvl w:ilvl="5" w:tplc="EC368F8E">
      <w:start w:val="1"/>
      <w:numFmt w:val="bullet"/>
      <w:lvlText w:val=""/>
      <w:lvlJc w:val="left"/>
      <w:pPr>
        <w:ind w:left="4320" w:hanging="360"/>
      </w:pPr>
      <w:rPr>
        <w:rFonts w:hint="default" w:ascii="Wingdings" w:hAnsi="Wingdings"/>
      </w:rPr>
    </w:lvl>
    <w:lvl w:ilvl="6" w:tplc="CD7E0D88">
      <w:start w:val="1"/>
      <w:numFmt w:val="bullet"/>
      <w:lvlText w:val=""/>
      <w:lvlJc w:val="left"/>
      <w:pPr>
        <w:ind w:left="5040" w:hanging="360"/>
      </w:pPr>
      <w:rPr>
        <w:rFonts w:hint="default" w:ascii="Symbol" w:hAnsi="Symbol"/>
      </w:rPr>
    </w:lvl>
    <w:lvl w:ilvl="7" w:tplc="86FE4376">
      <w:start w:val="1"/>
      <w:numFmt w:val="bullet"/>
      <w:lvlText w:val="o"/>
      <w:lvlJc w:val="left"/>
      <w:pPr>
        <w:ind w:left="5760" w:hanging="360"/>
      </w:pPr>
      <w:rPr>
        <w:rFonts w:hint="default" w:ascii="Courier New" w:hAnsi="Courier New"/>
      </w:rPr>
    </w:lvl>
    <w:lvl w:ilvl="8" w:tplc="61BE3036">
      <w:start w:val="1"/>
      <w:numFmt w:val="bullet"/>
      <w:lvlText w:val=""/>
      <w:lvlJc w:val="left"/>
      <w:pPr>
        <w:ind w:left="6480" w:hanging="360"/>
      </w:pPr>
      <w:rPr>
        <w:rFonts w:hint="default" w:ascii="Wingdings" w:hAnsi="Wingdings"/>
      </w:rPr>
    </w:lvl>
  </w:abstractNum>
  <w:abstractNum w:abstractNumId="6" w15:restartNumberingAfterBreak="0">
    <w:nsid w:val="06186B51"/>
    <w:multiLevelType w:val="hybridMultilevel"/>
    <w:tmpl w:val="BCC6A988"/>
    <w:lvl w:ilvl="0" w:tplc="3D5EA4CC">
      <w:start w:val="1"/>
      <w:numFmt w:val="bullet"/>
      <w:lvlText w:val=""/>
      <w:lvlJc w:val="left"/>
      <w:pPr>
        <w:ind w:left="1440" w:hanging="360"/>
      </w:pPr>
      <w:rPr>
        <w:rFonts w:hint="default" w:ascii="Symbol" w:hAnsi="Symbol"/>
      </w:rPr>
    </w:lvl>
    <w:lvl w:ilvl="1" w:tplc="A57AD3B2">
      <w:start w:val="1"/>
      <w:numFmt w:val="bullet"/>
      <w:lvlText w:val="o"/>
      <w:lvlJc w:val="left"/>
      <w:pPr>
        <w:ind w:left="2160" w:hanging="360"/>
      </w:pPr>
      <w:rPr>
        <w:rFonts w:hint="default" w:ascii="Courier New" w:hAnsi="Courier New"/>
      </w:rPr>
    </w:lvl>
    <w:lvl w:ilvl="2" w:tplc="F12CD8A4">
      <w:start w:val="1"/>
      <w:numFmt w:val="bullet"/>
      <w:lvlText w:val=""/>
      <w:lvlJc w:val="left"/>
      <w:pPr>
        <w:ind w:left="2880" w:hanging="360"/>
      </w:pPr>
      <w:rPr>
        <w:rFonts w:hint="default" w:ascii="Wingdings" w:hAnsi="Wingdings"/>
      </w:rPr>
    </w:lvl>
    <w:lvl w:ilvl="3" w:tplc="BF70D9B8">
      <w:start w:val="1"/>
      <w:numFmt w:val="bullet"/>
      <w:lvlText w:val=""/>
      <w:lvlJc w:val="left"/>
      <w:pPr>
        <w:ind w:left="3600" w:hanging="360"/>
      </w:pPr>
      <w:rPr>
        <w:rFonts w:hint="default" w:ascii="Symbol" w:hAnsi="Symbol"/>
      </w:rPr>
    </w:lvl>
    <w:lvl w:ilvl="4" w:tplc="031A7276">
      <w:start w:val="1"/>
      <w:numFmt w:val="bullet"/>
      <w:lvlText w:val="o"/>
      <w:lvlJc w:val="left"/>
      <w:pPr>
        <w:ind w:left="4320" w:hanging="360"/>
      </w:pPr>
      <w:rPr>
        <w:rFonts w:hint="default" w:ascii="Courier New" w:hAnsi="Courier New"/>
      </w:rPr>
    </w:lvl>
    <w:lvl w:ilvl="5" w:tplc="9126CEEE">
      <w:start w:val="1"/>
      <w:numFmt w:val="bullet"/>
      <w:lvlText w:val=""/>
      <w:lvlJc w:val="left"/>
      <w:pPr>
        <w:ind w:left="5040" w:hanging="360"/>
      </w:pPr>
      <w:rPr>
        <w:rFonts w:hint="default" w:ascii="Wingdings" w:hAnsi="Wingdings"/>
      </w:rPr>
    </w:lvl>
    <w:lvl w:ilvl="6" w:tplc="08BA1E12">
      <w:start w:val="1"/>
      <w:numFmt w:val="bullet"/>
      <w:lvlText w:val=""/>
      <w:lvlJc w:val="left"/>
      <w:pPr>
        <w:ind w:left="5760" w:hanging="360"/>
      </w:pPr>
      <w:rPr>
        <w:rFonts w:hint="default" w:ascii="Symbol" w:hAnsi="Symbol"/>
      </w:rPr>
    </w:lvl>
    <w:lvl w:ilvl="7" w:tplc="E8D02BCE">
      <w:start w:val="1"/>
      <w:numFmt w:val="bullet"/>
      <w:lvlText w:val="o"/>
      <w:lvlJc w:val="left"/>
      <w:pPr>
        <w:ind w:left="6480" w:hanging="360"/>
      </w:pPr>
      <w:rPr>
        <w:rFonts w:hint="default" w:ascii="Courier New" w:hAnsi="Courier New"/>
      </w:rPr>
    </w:lvl>
    <w:lvl w:ilvl="8" w:tplc="08667726">
      <w:start w:val="1"/>
      <w:numFmt w:val="bullet"/>
      <w:lvlText w:val=""/>
      <w:lvlJc w:val="left"/>
      <w:pPr>
        <w:ind w:left="7200" w:hanging="360"/>
      </w:pPr>
      <w:rPr>
        <w:rFonts w:hint="default" w:ascii="Wingdings" w:hAnsi="Wingdings"/>
      </w:rPr>
    </w:lvl>
  </w:abstractNum>
  <w:abstractNum w:abstractNumId="7" w15:restartNumberingAfterBreak="0">
    <w:nsid w:val="07B612BA"/>
    <w:multiLevelType w:val="hybridMultilevel"/>
    <w:tmpl w:val="5498BA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710963"/>
    <w:multiLevelType w:val="hybridMultilevel"/>
    <w:tmpl w:val="D56C1FC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09430741"/>
    <w:multiLevelType w:val="hybridMultilevel"/>
    <w:tmpl w:val="75E688E2"/>
    <w:lvl w:ilvl="0" w:tplc="A97EF5A0">
      <w:start w:val="1"/>
      <w:numFmt w:val="upperLetter"/>
      <w:lvlText w:val="%1."/>
      <w:lvlJc w:val="left"/>
      <w:pPr>
        <w:ind w:left="72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9129A0"/>
    <w:multiLevelType w:val="hybridMultilevel"/>
    <w:tmpl w:val="1442808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0F3B0B55"/>
    <w:multiLevelType w:val="hybridMultilevel"/>
    <w:tmpl w:val="4D62FE24"/>
    <w:lvl w:ilvl="0" w:tplc="29E46C52">
      <w:start w:val="1"/>
      <w:numFmt w:val="upperRoman"/>
      <w:lvlText w:val="%1."/>
      <w:lvlJc w:val="left"/>
      <w:pPr>
        <w:ind w:left="720" w:hanging="720"/>
      </w:pPr>
      <w:rPr>
        <w:rFonts w:hint="default"/>
        <w:b/>
        <w:bCs/>
      </w:rPr>
    </w:lvl>
    <w:lvl w:ilvl="1" w:tplc="04090015">
      <w:start w:val="1"/>
      <w:numFmt w:val="upperLetter"/>
      <w:lvlText w:val="%2."/>
      <w:lvlJc w:val="left"/>
      <w:pPr>
        <w:ind w:left="0" w:firstLine="0"/>
      </w:pPr>
      <w:rPr>
        <w:rFonts w:hint="default"/>
        <w:b/>
        <w:bCs/>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90656F"/>
    <w:multiLevelType w:val="hybridMultilevel"/>
    <w:tmpl w:val="48987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A63142"/>
    <w:multiLevelType w:val="hybridMultilevel"/>
    <w:tmpl w:val="62AA8F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613EAC"/>
    <w:multiLevelType w:val="hybridMultilevel"/>
    <w:tmpl w:val="F58C95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19D777A9"/>
    <w:multiLevelType w:val="hybridMultilevel"/>
    <w:tmpl w:val="FFFFFFFF"/>
    <w:lvl w:ilvl="0" w:tplc="E1C6EF70">
      <w:start w:val="1"/>
      <w:numFmt w:val="bullet"/>
      <w:lvlText w:val="o"/>
      <w:lvlJc w:val="left"/>
      <w:pPr>
        <w:ind w:left="720" w:hanging="360"/>
      </w:pPr>
      <w:rPr>
        <w:rFonts w:hint="default" w:ascii="Courier New" w:hAnsi="Courier New"/>
      </w:rPr>
    </w:lvl>
    <w:lvl w:ilvl="1" w:tplc="3782031A">
      <w:start w:val="1"/>
      <w:numFmt w:val="bullet"/>
      <w:lvlText w:val="o"/>
      <w:lvlJc w:val="left"/>
      <w:pPr>
        <w:ind w:left="1440" w:hanging="360"/>
      </w:pPr>
      <w:rPr>
        <w:rFonts w:hint="default" w:ascii="Courier New" w:hAnsi="Courier New"/>
      </w:rPr>
    </w:lvl>
    <w:lvl w:ilvl="2" w:tplc="553A1142">
      <w:start w:val="1"/>
      <w:numFmt w:val="bullet"/>
      <w:lvlText w:val=""/>
      <w:lvlJc w:val="left"/>
      <w:pPr>
        <w:ind w:left="2160" w:hanging="360"/>
      </w:pPr>
      <w:rPr>
        <w:rFonts w:hint="default" w:ascii="Wingdings" w:hAnsi="Wingdings"/>
      </w:rPr>
    </w:lvl>
    <w:lvl w:ilvl="3" w:tplc="78FAAC6A">
      <w:start w:val="1"/>
      <w:numFmt w:val="bullet"/>
      <w:lvlText w:val=""/>
      <w:lvlJc w:val="left"/>
      <w:pPr>
        <w:ind w:left="2880" w:hanging="360"/>
      </w:pPr>
      <w:rPr>
        <w:rFonts w:hint="default" w:ascii="Symbol" w:hAnsi="Symbol"/>
      </w:rPr>
    </w:lvl>
    <w:lvl w:ilvl="4" w:tplc="D138EB54">
      <w:start w:val="1"/>
      <w:numFmt w:val="bullet"/>
      <w:lvlText w:val="o"/>
      <w:lvlJc w:val="left"/>
      <w:pPr>
        <w:ind w:left="3600" w:hanging="360"/>
      </w:pPr>
      <w:rPr>
        <w:rFonts w:hint="default" w:ascii="Courier New" w:hAnsi="Courier New"/>
      </w:rPr>
    </w:lvl>
    <w:lvl w:ilvl="5" w:tplc="8926F29C">
      <w:start w:val="1"/>
      <w:numFmt w:val="bullet"/>
      <w:lvlText w:val=""/>
      <w:lvlJc w:val="left"/>
      <w:pPr>
        <w:ind w:left="4320" w:hanging="360"/>
      </w:pPr>
      <w:rPr>
        <w:rFonts w:hint="default" w:ascii="Wingdings" w:hAnsi="Wingdings"/>
      </w:rPr>
    </w:lvl>
    <w:lvl w:ilvl="6" w:tplc="E4CCEB6A">
      <w:start w:val="1"/>
      <w:numFmt w:val="bullet"/>
      <w:lvlText w:val=""/>
      <w:lvlJc w:val="left"/>
      <w:pPr>
        <w:ind w:left="5040" w:hanging="360"/>
      </w:pPr>
      <w:rPr>
        <w:rFonts w:hint="default" w:ascii="Symbol" w:hAnsi="Symbol"/>
      </w:rPr>
    </w:lvl>
    <w:lvl w:ilvl="7" w:tplc="EDA447BE">
      <w:start w:val="1"/>
      <w:numFmt w:val="bullet"/>
      <w:lvlText w:val="o"/>
      <w:lvlJc w:val="left"/>
      <w:pPr>
        <w:ind w:left="5760" w:hanging="360"/>
      </w:pPr>
      <w:rPr>
        <w:rFonts w:hint="default" w:ascii="Courier New" w:hAnsi="Courier New"/>
      </w:rPr>
    </w:lvl>
    <w:lvl w:ilvl="8" w:tplc="C706ACEC">
      <w:start w:val="1"/>
      <w:numFmt w:val="bullet"/>
      <w:lvlText w:val=""/>
      <w:lvlJc w:val="left"/>
      <w:pPr>
        <w:ind w:left="6480" w:hanging="360"/>
      </w:pPr>
      <w:rPr>
        <w:rFonts w:hint="default" w:ascii="Wingdings" w:hAnsi="Wingdings"/>
      </w:rPr>
    </w:lvl>
  </w:abstractNum>
  <w:abstractNum w:abstractNumId="16" w15:restartNumberingAfterBreak="0">
    <w:nsid w:val="1BA24238"/>
    <w:multiLevelType w:val="hybridMultilevel"/>
    <w:tmpl w:val="FFFFFFFF"/>
    <w:lvl w:ilvl="0" w:tplc="614C39A6">
      <w:start w:val="1"/>
      <w:numFmt w:val="bullet"/>
      <w:lvlText w:val=""/>
      <w:lvlJc w:val="left"/>
      <w:pPr>
        <w:ind w:left="720" w:hanging="360"/>
      </w:pPr>
      <w:rPr>
        <w:rFonts w:hint="default" w:ascii="Symbol" w:hAnsi="Symbol"/>
      </w:rPr>
    </w:lvl>
    <w:lvl w:ilvl="1" w:tplc="E31078A2">
      <w:start w:val="1"/>
      <w:numFmt w:val="bullet"/>
      <w:lvlText w:val=""/>
      <w:lvlJc w:val="left"/>
      <w:pPr>
        <w:ind w:left="1440" w:hanging="360"/>
      </w:pPr>
      <w:rPr>
        <w:rFonts w:hint="default" w:ascii="Symbol" w:hAnsi="Symbol"/>
      </w:rPr>
    </w:lvl>
    <w:lvl w:ilvl="2" w:tplc="58E8225E">
      <w:start w:val="1"/>
      <w:numFmt w:val="bullet"/>
      <w:lvlText w:val=""/>
      <w:lvlJc w:val="left"/>
      <w:pPr>
        <w:ind w:left="2160" w:hanging="360"/>
      </w:pPr>
      <w:rPr>
        <w:rFonts w:hint="default" w:ascii="Wingdings" w:hAnsi="Wingdings"/>
      </w:rPr>
    </w:lvl>
    <w:lvl w:ilvl="3" w:tplc="BF441F1A">
      <w:start w:val="1"/>
      <w:numFmt w:val="bullet"/>
      <w:lvlText w:val=""/>
      <w:lvlJc w:val="left"/>
      <w:pPr>
        <w:ind w:left="2880" w:hanging="360"/>
      </w:pPr>
      <w:rPr>
        <w:rFonts w:hint="default" w:ascii="Symbol" w:hAnsi="Symbol"/>
      </w:rPr>
    </w:lvl>
    <w:lvl w:ilvl="4" w:tplc="761A230E">
      <w:start w:val="1"/>
      <w:numFmt w:val="bullet"/>
      <w:lvlText w:val="o"/>
      <w:lvlJc w:val="left"/>
      <w:pPr>
        <w:ind w:left="3600" w:hanging="360"/>
      </w:pPr>
      <w:rPr>
        <w:rFonts w:hint="default" w:ascii="Courier New" w:hAnsi="Courier New"/>
      </w:rPr>
    </w:lvl>
    <w:lvl w:ilvl="5" w:tplc="43CE9CEC">
      <w:start w:val="1"/>
      <w:numFmt w:val="bullet"/>
      <w:lvlText w:val=""/>
      <w:lvlJc w:val="left"/>
      <w:pPr>
        <w:ind w:left="4320" w:hanging="360"/>
      </w:pPr>
      <w:rPr>
        <w:rFonts w:hint="default" w:ascii="Wingdings" w:hAnsi="Wingdings"/>
      </w:rPr>
    </w:lvl>
    <w:lvl w:ilvl="6" w:tplc="A650B63E">
      <w:start w:val="1"/>
      <w:numFmt w:val="bullet"/>
      <w:lvlText w:val=""/>
      <w:lvlJc w:val="left"/>
      <w:pPr>
        <w:ind w:left="5040" w:hanging="360"/>
      </w:pPr>
      <w:rPr>
        <w:rFonts w:hint="default" w:ascii="Symbol" w:hAnsi="Symbol"/>
      </w:rPr>
    </w:lvl>
    <w:lvl w:ilvl="7" w:tplc="EE44527E">
      <w:start w:val="1"/>
      <w:numFmt w:val="bullet"/>
      <w:lvlText w:val="o"/>
      <w:lvlJc w:val="left"/>
      <w:pPr>
        <w:ind w:left="5760" w:hanging="360"/>
      </w:pPr>
      <w:rPr>
        <w:rFonts w:hint="default" w:ascii="Courier New" w:hAnsi="Courier New"/>
      </w:rPr>
    </w:lvl>
    <w:lvl w:ilvl="8" w:tplc="02083F78">
      <w:start w:val="1"/>
      <w:numFmt w:val="bullet"/>
      <w:lvlText w:val=""/>
      <w:lvlJc w:val="left"/>
      <w:pPr>
        <w:ind w:left="6480" w:hanging="360"/>
      </w:pPr>
      <w:rPr>
        <w:rFonts w:hint="default" w:ascii="Wingdings" w:hAnsi="Wingdings"/>
      </w:rPr>
    </w:lvl>
  </w:abstractNum>
  <w:abstractNum w:abstractNumId="17" w15:restartNumberingAfterBreak="0">
    <w:nsid w:val="1CB74070"/>
    <w:multiLevelType w:val="hybridMultilevel"/>
    <w:tmpl w:val="B5C82E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494087"/>
    <w:multiLevelType w:val="hybridMultilevel"/>
    <w:tmpl w:val="7F38E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8553FF"/>
    <w:multiLevelType w:val="hybridMultilevel"/>
    <w:tmpl w:val="45A2BFF6"/>
    <w:lvl w:ilvl="0" w:tplc="CB46CE22">
      <w:start w:val="1"/>
      <w:numFmt w:val="upperRoman"/>
      <w:pStyle w:val="Heading1"/>
      <w:lvlText w:val="%1."/>
      <w:lvlJc w:val="left"/>
      <w:pPr>
        <w:ind w:left="0" w:firstLine="0"/>
      </w:pPr>
    </w:lvl>
    <w:lvl w:ilvl="1" w:tplc="F8521BE6">
      <w:start w:val="1"/>
      <w:numFmt w:val="upperLetter"/>
      <w:pStyle w:val="Heading2"/>
      <w:lvlText w:val="%2."/>
      <w:lvlJc w:val="left"/>
      <w:pPr>
        <w:ind w:left="720" w:firstLine="0"/>
      </w:pPr>
      <w:rPr>
        <w:sz w:val="24"/>
        <w:szCs w:val="24"/>
      </w:rPr>
    </w:lvl>
    <w:lvl w:ilvl="2" w:tplc="FDB0D776">
      <w:start w:val="1"/>
      <w:numFmt w:val="decimal"/>
      <w:pStyle w:val="Heading3"/>
      <w:lvlText w:val="%3."/>
      <w:lvlJc w:val="left"/>
      <w:pPr>
        <w:ind w:left="1440" w:firstLine="0"/>
      </w:pPr>
    </w:lvl>
    <w:lvl w:ilvl="3" w:tplc="4E00BF58">
      <w:start w:val="1"/>
      <w:numFmt w:val="lowerLetter"/>
      <w:pStyle w:val="Heading4"/>
      <w:lvlText w:val="%4)"/>
      <w:lvlJc w:val="left"/>
      <w:pPr>
        <w:ind w:left="2160" w:firstLine="0"/>
      </w:pPr>
    </w:lvl>
    <w:lvl w:ilvl="4" w:tplc="4CF4A364">
      <w:start w:val="1"/>
      <w:numFmt w:val="decimal"/>
      <w:pStyle w:val="Heading5"/>
      <w:lvlText w:val="(%5)"/>
      <w:lvlJc w:val="left"/>
      <w:pPr>
        <w:ind w:left="2880" w:firstLine="0"/>
      </w:pPr>
    </w:lvl>
    <w:lvl w:ilvl="5" w:tplc="C9D22CD8">
      <w:start w:val="1"/>
      <w:numFmt w:val="lowerLetter"/>
      <w:pStyle w:val="Heading6"/>
      <w:lvlText w:val="(%6)"/>
      <w:lvlJc w:val="left"/>
      <w:pPr>
        <w:ind w:left="3600" w:firstLine="0"/>
      </w:pPr>
    </w:lvl>
    <w:lvl w:ilvl="6" w:tplc="D79040E8">
      <w:start w:val="1"/>
      <w:numFmt w:val="lowerRoman"/>
      <w:pStyle w:val="Heading7"/>
      <w:lvlText w:val="(%7)"/>
      <w:lvlJc w:val="left"/>
      <w:pPr>
        <w:ind w:left="4320" w:firstLine="0"/>
      </w:pPr>
    </w:lvl>
    <w:lvl w:ilvl="7" w:tplc="655CEB38">
      <w:start w:val="1"/>
      <w:numFmt w:val="lowerLetter"/>
      <w:pStyle w:val="Heading8"/>
      <w:lvlText w:val="(%8)"/>
      <w:lvlJc w:val="left"/>
      <w:pPr>
        <w:ind w:left="5040" w:firstLine="0"/>
      </w:pPr>
    </w:lvl>
    <w:lvl w:ilvl="8" w:tplc="60680D38">
      <w:start w:val="1"/>
      <w:numFmt w:val="lowerRoman"/>
      <w:pStyle w:val="Heading9"/>
      <w:lvlText w:val="(%9)"/>
      <w:lvlJc w:val="left"/>
      <w:pPr>
        <w:ind w:left="5760" w:firstLine="0"/>
      </w:pPr>
    </w:lvl>
  </w:abstractNum>
  <w:abstractNum w:abstractNumId="20" w15:restartNumberingAfterBreak="0">
    <w:nsid w:val="29EC1074"/>
    <w:multiLevelType w:val="hybridMultilevel"/>
    <w:tmpl w:val="DF8ED0F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300F5E44"/>
    <w:multiLevelType w:val="hybridMultilevel"/>
    <w:tmpl w:val="FFFFFFFF"/>
    <w:lvl w:ilvl="0" w:tplc="378EC07A">
      <w:start w:val="1"/>
      <w:numFmt w:val="bullet"/>
      <w:lvlText w:val=""/>
      <w:lvlJc w:val="left"/>
      <w:pPr>
        <w:ind w:left="720" w:hanging="360"/>
      </w:pPr>
      <w:rPr>
        <w:rFonts w:hint="default" w:ascii="Symbol" w:hAnsi="Symbol"/>
      </w:rPr>
    </w:lvl>
    <w:lvl w:ilvl="1" w:tplc="93FA61F6">
      <w:start w:val="1"/>
      <w:numFmt w:val="bullet"/>
      <w:lvlText w:val=""/>
      <w:lvlJc w:val="left"/>
      <w:pPr>
        <w:ind w:left="1440" w:hanging="360"/>
      </w:pPr>
      <w:rPr>
        <w:rFonts w:hint="default" w:ascii="Symbol" w:hAnsi="Symbol"/>
      </w:rPr>
    </w:lvl>
    <w:lvl w:ilvl="2" w:tplc="7F14995A">
      <w:start w:val="1"/>
      <w:numFmt w:val="bullet"/>
      <w:lvlText w:val=""/>
      <w:lvlJc w:val="left"/>
      <w:pPr>
        <w:ind w:left="2160" w:hanging="360"/>
      </w:pPr>
      <w:rPr>
        <w:rFonts w:hint="default" w:ascii="Wingdings" w:hAnsi="Wingdings"/>
      </w:rPr>
    </w:lvl>
    <w:lvl w:ilvl="3" w:tplc="80687308">
      <w:start w:val="1"/>
      <w:numFmt w:val="bullet"/>
      <w:lvlText w:val=""/>
      <w:lvlJc w:val="left"/>
      <w:pPr>
        <w:ind w:left="2880" w:hanging="360"/>
      </w:pPr>
      <w:rPr>
        <w:rFonts w:hint="default" w:ascii="Symbol" w:hAnsi="Symbol"/>
      </w:rPr>
    </w:lvl>
    <w:lvl w:ilvl="4" w:tplc="6D001DFC">
      <w:start w:val="1"/>
      <w:numFmt w:val="bullet"/>
      <w:lvlText w:val="o"/>
      <w:lvlJc w:val="left"/>
      <w:pPr>
        <w:ind w:left="3600" w:hanging="360"/>
      </w:pPr>
      <w:rPr>
        <w:rFonts w:hint="default" w:ascii="Courier New" w:hAnsi="Courier New"/>
      </w:rPr>
    </w:lvl>
    <w:lvl w:ilvl="5" w:tplc="9EDE3564">
      <w:start w:val="1"/>
      <w:numFmt w:val="bullet"/>
      <w:lvlText w:val=""/>
      <w:lvlJc w:val="left"/>
      <w:pPr>
        <w:ind w:left="4320" w:hanging="360"/>
      </w:pPr>
      <w:rPr>
        <w:rFonts w:hint="default" w:ascii="Wingdings" w:hAnsi="Wingdings"/>
      </w:rPr>
    </w:lvl>
    <w:lvl w:ilvl="6" w:tplc="9CC01AEE">
      <w:start w:val="1"/>
      <w:numFmt w:val="bullet"/>
      <w:lvlText w:val=""/>
      <w:lvlJc w:val="left"/>
      <w:pPr>
        <w:ind w:left="5040" w:hanging="360"/>
      </w:pPr>
      <w:rPr>
        <w:rFonts w:hint="default" w:ascii="Symbol" w:hAnsi="Symbol"/>
      </w:rPr>
    </w:lvl>
    <w:lvl w:ilvl="7" w:tplc="5AFE1FAA">
      <w:start w:val="1"/>
      <w:numFmt w:val="bullet"/>
      <w:lvlText w:val="o"/>
      <w:lvlJc w:val="left"/>
      <w:pPr>
        <w:ind w:left="5760" w:hanging="360"/>
      </w:pPr>
      <w:rPr>
        <w:rFonts w:hint="default" w:ascii="Courier New" w:hAnsi="Courier New"/>
      </w:rPr>
    </w:lvl>
    <w:lvl w:ilvl="8" w:tplc="3FF62456">
      <w:start w:val="1"/>
      <w:numFmt w:val="bullet"/>
      <w:lvlText w:val=""/>
      <w:lvlJc w:val="left"/>
      <w:pPr>
        <w:ind w:left="6480" w:hanging="360"/>
      </w:pPr>
      <w:rPr>
        <w:rFonts w:hint="default" w:ascii="Wingdings" w:hAnsi="Wingdings"/>
      </w:rPr>
    </w:lvl>
  </w:abstractNum>
  <w:abstractNum w:abstractNumId="22" w15:restartNumberingAfterBreak="0">
    <w:nsid w:val="32AA6433"/>
    <w:multiLevelType w:val="hybridMultilevel"/>
    <w:tmpl w:val="FFFFFFFF"/>
    <w:lvl w:ilvl="0" w:tplc="79089AE8">
      <w:start w:val="1"/>
      <w:numFmt w:val="bullet"/>
      <w:lvlText w:val=""/>
      <w:lvlJc w:val="left"/>
      <w:pPr>
        <w:ind w:left="1440" w:hanging="360"/>
      </w:pPr>
      <w:rPr>
        <w:rFonts w:hint="default" w:ascii="Symbol" w:hAnsi="Symbol"/>
      </w:rPr>
    </w:lvl>
    <w:lvl w:ilvl="1" w:tplc="211695A0">
      <w:start w:val="1"/>
      <w:numFmt w:val="bullet"/>
      <w:lvlText w:val="o"/>
      <w:lvlJc w:val="left"/>
      <w:pPr>
        <w:ind w:left="2160" w:hanging="360"/>
      </w:pPr>
      <w:rPr>
        <w:rFonts w:hint="default" w:ascii="Courier New" w:hAnsi="Courier New"/>
      </w:rPr>
    </w:lvl>
    <w:lvl w:ilvl="2" w:tplc="AAB6B75E">
      <w:start w:val="1"/>
      <w:numFmt w:val="bullet"/>
      <w:lvlText w:val=""/>
      <w:lvlJc w:val="left"/>
      <w:pPr>
        <w:ind w:left="2880" w:hanging="360"/>
      </w:pPr>
      <w:rPr>
        <w:rFonts w:hint="default" w:ascii="Wingdings" w:hAnsi="Wingdings"/>
      </w:rPr>
    </w:lvl>
    <w:lvl w:ilvl="3" w:tplc="4A983774">
      <w:start w:val="1"/>
      <w:numFmt w:val="bullet"/>
      <w:lvlText w:val=""/>
      <w:lvlJc w:val="left"/>
      <w:pPr>
        <w:ind w:left="3600" w:hanging="360"/>
      </w:pPr>
      <w:rPr>
        <w:rFonts w:hint="default" w:ascii="Symbol" w:hAnsi="Symbol"/>
      </w:rPr>
    </w:lvl>
    <w:lvl w:ilvl="4" w:tplc="ABF0B42A">
      <w:start w:val="1"/>
      <w:numFmt w:val="bullet"/>
      <w:lvlText w:val="o"/>
      <w:lvlJc w:val="left"/>
      <w:pPr>
        <w:ind w:left="4320" w:hanging="360"/>
      </w:pPr>
      <w:rPr>
        <w:rFonts w:hint="default" w:ascii="Courier New" w:hAnsi="Courier New"/>
      </w:rPr>
    </w:lvl>
    <w:lvl w:ilvl="5" w:tplc="478C27B6">
      <w:start w:val="1"/>
      <w:numFmt w:val="bullet"/>
      <w:lvlText w:val=""/>
      <w:lvlJc w:val="left"/>
      <w:pPr>
        <w:ind w:left="5040" w:hanging="360"/>
      </w:pPr>
      <w:rPr>
        <w:rFonts w:hint="default" w:ascii="Wingdings" w:hAnsi="Wingdings"/>
      </w:rPr>
    </w:lvl>
    <w:lvl w:ilvl="6" w:tplc="EFAC2882">
      <w:start w:val="1"/>
      <w:numFmt w:val="bullet"/>
      <w:lvlText w:val=""/>
      <w:lvlJc w:val="left"/>
      <w:pPr>
        <w:ind w:left="5760" w:hanging="360"/>
      </w:pPr>
      <w:rPr>
        <w:rFonts w:hint="default" w:ascii="Symbol" w:hAnsi="Symbol"/>
      </w:rPr>
    </w:lvl>
    <w:lvl w:ilvl="7" w:tplc="8E3E5D86">
      <w:start w:val="1"/>
      <w:numFmt w:val="bullet"/>
      <w:lvlText w:val="o"/>
      <w:lvlJc w:val="left"/>
      <w:pPr>
        <w:ind w:left="6480" w:hanging="360"/>
      </w:pPr>
      <w:rPr>
        <w:rFonts w:hint="default" w:ascii="Courier New" w:hAnsi="Courier New"/>
      </w:rPr>
    </w:lvl>
    <w:lvl w:ilvl="8" w:tplc="6DE8D0FA">
      <w:start w:val="1"/>
      <w:numFmt w:val="bullet"/>
      <w:lvlText w:val=""/>
      <w:lvlJc w:val="left"/>
      <w:pPr>
        <w:ind w:left="7200" w:hanging="360"/>
      </w:pPr>
      <w:rPr>
        <w:rFonts w:hint="default" w:ascii="Wingdings" w:hAnsi="Wingdings"/>
      </w:rPr>
    </w:lvl>
  </w:abstractNum>
  <w:abstractNum w:abstractNumId="23" w15:restartNumberingAfterBreak="0">
    <w:nsid w:val="35930665"/>
    <w:multiLevelType w:val="hybridMultilevel"/>
    <w:tmpl w:val="F9606D44"/>
    <w:lvl w:ilvl="0" w:tplc="245E793C">
      <w:start w:val="1"/>
      <w:numFmt w:val="bullet"/>
      <w:lvlText w:val=""/>
      <w:lvlJc w:val="left"/>
      <w:pPr>
        <w:ind w:left="1440" w:hanging="360"/>
      </w:pPr>
      <w:rPr>
        <w:rFonts w:hint="default" w:ascii="Symbol" w:hAnsi="Symbol"/>
      </w:rPr>
    </w:lvl>
    <w:lvl w:ilvl="1" w:tplc="93BC1DE6">
      <w:start w:val="1"/>
      <w:numFmt w:val="bullet"/>
      <w:lvlText w:val="o"/>
      <w:lvlJc w:val="left"/>
      <w:pPr>
        <w:ind w:left="2160" w:hanging="360"/>
      </w:pPr>
      <w:rPr>
        <w:rFonts w:hint="default" w:ascii="Courier New" w:hAnsi="Courier New"/>
      </w:rPr>
    </w:lvl>
    <w:lvl w:ilvl="2" w:tplc="5B2C1A8A">
      <w:start w:val="1"/>
      <w:numFmt w:val="bullet"/>
      <w:lvlText w:val=""/>
      <w:lvlJc w:val="left"/>
      <w:pPr>
        <w:ind w:left="2880" w:hanging="360"/>
      </w:pPr>
      <w:rPr>
        <w:rFonts w:hint="default" w:ascii="Wingdings" w:hAnsi="Wingdings"/>
      </w:rPr>
    </w:lvl>
    <w:lvl w:ilvl="3" w:tplc="77162254">
      <w:start w:val="1"/>
      <w:numFmt w:val="bullet"/>
      <w:lvlText w:val=""/>
      <w:lvlJc w:val="left"/>
      <w:pPr>
        <w:ind w:left="3600" w:hanging="360"/>
      </w:pPr>
      <w:rPr>
        <w:rFonts w:hint="default" w:ascii="Symbol" w:hAnsi="Symbol"/>
      </w:rPr>
    </w:lvl>
    <w:lvl w:ilvl="4" w:tplc="62165200">
      <w:start w:val="1"/>
      <w:numFmt w:val="bullet"/>
      <w:lvlText w:val="o"/>
      <w:lvlJc w:val="left"/>
      <w:pPr>
        <w:ind w:left="4320" w:hanging="360"/>
      </w:pPr>
      <w:rPr>
        <w:rFonts w:hint="default" w:ascii="Courier New" w:hAnsi="Courier New"/>
      </w:rPr>
    </w:lvl>
    <w:lvl w:ilvl="5" w:tplc="5650B890">
      <w:start w:val="1"/>
      <w:numFmt w:val="bullet"/>
      <w:lvlText w:val=""/>
      <w:lvlJc w:val="left"/>
      <w:pPr>
        <w:ind w:left="5040" w:hanging="360"/>
      </w:pPr>
      <w:rPr>
        <w:rFonts w:hint="default" w:ascii="Wingdings" w:hAnsi="Wingdings"/>
      </w:rPr>
    </w:lvl>
    <w:lvl w:ilvl="6" w:tplc="0DB08500">
      <w:start w:val="1"/>
      <w:numFmt w:val="bullet"/>
      <w:lvlText w:val=""/>
      <w:lvlJc w:val="left"/>
      <w:pPr>
        <w:ind w:left="5760" w:hanging="360"/>
      </w:pPr>
      <w:rPr>
        <w:rFonts w:hint="default" w:ascii="Symbol" w:hAnsi="Symbol"/>
      </w:rPr>
    </w:lvl>
    <w:lvl w:ilvl="7" w:tplc="E78C71C6">
      <w:start w:val="1"/>
      <w:numFmt w:val="bullet"/>
      <w:lvlText w:val="o"/>
      <w:lvlJc w:val="left"/>
      <w:pPr>
        <w:ind w:left="6480" w:hanging="360"/>
      </w:pPr>
      <w:rPr>
        <w:rFonts w:hint="default" w:ascii="Courier New" w:hAnsi="Courier New"/>
      </w:rPr>
    </w:lvl>
    <w:lvl w:ilvl="8" w:tplc="16F28BC2">
      <w:start w:val="1"/>
      <w:numFmt w:val="bullet"/>
      <w:lvlText w:val=""/>
      <w:lvlJc w:val="left"/>
      <w:pPr>
        <w:ind w:left="7200" w:hanging="360"/>
      </w:pPr>
      <w:rPr>
        <w:rFonts w:hint="default" w:ascii="Wingdings" w:hAnsi="Wingdings"/>
      </w:rPr>
    </w:lvl>
  </w:abstractNum>
  <w:abstractNum w:abstractNumId="24" w15:restartNumberingAfterBreak="0">
    <w:nsid w:val="39D72BF2"/>
    <w:multiLevelType w:val="hybridMultilevel"/>
    <w:tmpl w:val="52A2A46A"/>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5" w15:restartNumberingAfterBreak="0">
    <w:nsid w:val="3ECE1DF0"/>
    <w:multiLevelType w:val="hybridMultilevel"/>
    <w:tmpl w:val="8FB21AB8"/>
    <w:lvl w:ilvl="0" w:tplc="7046A8D6">
      <w:start w:val="1"/>
      <w:numFmt w:val="bullet"/>
      <w:lvlText w:val=""/>
      <w:lvlJc w:val="left"/>
      <w:pPr>
        <w:ind w:left="720" w:hanging="360"/>
      </w:pPr>
      <w:rPr>
        <w:rFonts w:hint="default" w:ascii="Symbol" w:hAnsi="Symbol"/>
      </w:rPr>
    </w:lvl>
    <w:lvl w:ilvl="1" w:tplc="CF2A1990">
      <w:start w:val="1"/>
      <w:numFmt w:val="bullet"/>
      <w:lvlText w:val=""/>
      <w:lvlJc w:val="left"/>
      <w:pPr>
        <w:ind w:left="1440" w:hanging="360"/>
      </w:pPr>
      <w:rPr>
        <w:rFonts w:hint="default" w:ascii="Symbol" w:hAnsi="Symbol"/>
      </w:rPr>
    </w:lvl>
    <w:lvl w:ilvl="2" w:tplc="1C10E13E">
      <w:start w:val="1"/>
      <w:numFmt w:val="bullet"/>
      <w:lvlText w:val=""/>
      <w:lvlJc w:val="left"/>
      <w:pPr>
        <w:ind w:left="2160" w:hanging="360"/>
      </w:pPr>
      <w:rPr>
        <w:rFonts w:hint="default" w:ascii="Wingdings" w:hAnsi="Wingdings"/>
      </w:rPr>
    </w:lvl>
    <w:lvl w:ilvl="3" w:tplc="8202F81A">
      <w:start w:val="1"/>
      <w:numFmt w:val="bullet"/>
      <w:lvlText w:val=""/>
      <w:lvlJc w:val="left"/>
      <w:pPr>
        <w:ind w:left="2880" w:hanging="360"/>
      </w:pPr>
      <w:rPr>
        <w:rFonts w:hint="default" w:ascii="Symbol" w:hAnsi="Symbol"/>
      </w:rPr>
    </w:lvl>
    <w:lvl w:ilvl="4" w:tplc="8B34F42C">
      <w:start w:val="1"/>
      <w:numFmt w:val="bullet"/>
      <w:lvlText w:val="o"/>
      <w:lvlJc w:val="left"/>
      <w:pPr>
        <w:ind w:left="3600" w:hanging="360"/>
      </w:pPr>
      <w:rPr>
        <w:rFonts w:hint="default" w:ascii="Courier New" w:hAnsi="Courier New"/>
      </w:rPr>
    </w:lvl>
    <w:lvl w:ilvl="5" w:tplc="BB88E15A">
      <w:start w:val="1"/>
      <w:numFmt w:val="bullet"/>
      <w:lvlText w:val=""/>
      <w:lvlJc w:val="left"/>
      <w:pPr>
        <w:ind w:left="4320" w:hanging="360"/>
      </w:pPr>
      <w:rPr>
        <w:rFonts w:hint="default" w:ascii="Wingdings" w:hAnsi="Wingdings"/>
      </w:rPr>
    </w:lvl>
    <w:lvl w:ilvl="6" w:tplc="EB86F31E">
      <w:start w:val="1"/>
      <w:numFmt w:val="bullet"/>
      <w:lvlText w:val=""/>
      <w:lvlJc w:val="left"/>
      <w:pPr>
        <w:ind w:left="5040" w:hanging="360"/>
      </w:pPr>
      <w:rPr>
        <w:rFonts w:hint="default" w:ascii="Symbol" w:hAnsi="Symbol"/>
      </w:rPr>
    </w:lvl>
    <w:lvl w:ilvl="7" w:tplc="48C87AA6">
      <w:start w:val="1"/>
      <w:numFmt w:val="bullet"/>
      <w:lvlText w:val="o"/>
      <w:lvlJc w:val="left"/>
      <w:pPr>
        <w:ind w:left="5760" w:hanging="360"/>
      </w:pPr>
      <w:rPr>
        <w:rFonts w:hint="default" w:ascii="Courier New" w:hAnsi="Courier New"/>
      </w:rPr>
    </w:lvl>
    <w:lvl w:ilvl="8" w:tplc="9FEED4C2">
      <w:start w:val="1"/>
      <w:numFmt w:val="bullet"/>
      <w:lvlText w:val=""/>
      <w:lvlJc w:val="left"/>
      <w:pPr>
        <w:ind w:left="6480" w:hanging="360"/>
      </w:pPr>
      <w:rPr>
        <w:rFonts w:hint="default" w:ascii="Wingdings" w:hAnsi="Wingdings"/>
      </w:rPr>
    </w:lvl>
  </w:abstractNum>
  <w:abstractNum w:abstractNumId="26" w15:restartNumberingAfterBreak="0">
    <w:nsid w:val="4BF8408F"/>
    <w:multiLevelType w:val="hybridMultilevel"/>
    <w:tmpl w:val="D0D287BC"/>
    <w:lvl w:ilvl="0" w:tplc="AF560B20">
      <w:start w:val="1"/>
      <w:numFmt w:val="bullet"/>
      <w:lvlText w:val=""/>
      <w:lvlJc w:val="left"/>
      <w:pPr>
        <w:ind w:left="720" w:hanging="360"/>
      </w:pPr>
      <w:rPr>
        <w:rFonts w:hint="default" w:ascii="Symbol" w:hAnsi="Symbol"/>
      </w:rPr>
    </w:lvl>
    <w:lvl w:ilvl="1" w:tplc="23A6F7C0">
      <w:start w:val="1"/>
      <w:numFmt w:val="bullet"/>
      <w:lvlText w:val="o"/>
      <w:lvlJc w:val="left"/>
      <w:pPr>
        <w:ind w:left="1440" w:hanging="360"/>
      </w:pPr>
      <w:rPr>
        <w:rFonts w:hint="default" w:ascii="Courier New" w:hAnsi="Courier New"/>
      </w:rPr>
    </w:lvl>
    <w:lvl w:ilvl="2" w:tplc="308A65F0">
      <w:start w:val="1"/>
      <w:numFmt w:val="bullet"/>
      <w:lvlText w:val=""/>
      <w:lvlJc w:val="left"/>
      <w:pPr>
        <w:ind w:left="2160" w:hanging="360"/>
      </w:pPr>
      <w:rPr>
        <w:rFonts w:hint="default" w:ascii="Symbol" w:hAnsi="Symbol"/>
      </w:rPr>
    </w:lvl>
    <w:lvl w:ilvl="3" w:tplc="29F882F2">
      <w:start w:val="1"/>
      <w:numFmt w:val="bullet"/>
      <w:lvlText w:val=""/>
      <w:lvlJc w:val="left"/>
      <w:pPr>
        <w:ind w:left="2880" w:hanging="360"/>
      </w:pPr>
      <w:rPr>
        <w:rFonts w:hint="default" w:ascii="Symbol" w:hAnsi="Symbol"/>
      </w:rPr>
    </w:lvl>
    <w:lvl w:ilvl="4" w:tplc="0ADE27A6">
      <w:start w:val="1"/>
      <w:numFmt w:val="bullet"/>
      <w:lvlText w:val="o"/>
      <w:lvlJc w:val="left"/>
      <w:pPr>
        <w:ind w:left="3600" w:hanging="360"/>
      </w:pPr>
      <w:rPr>
        <w:rFonts w:hint="default" w:ascii="Courier New" w:hAnsi="Courier New"/>
      </w:rPr>
    </w:lvl>
    <w:lvl w:ilvl="5" w:tplc="82D22BBC">
      <w:start w:val="1"/>
      <w:numFmt w:val="bullet"/>
      <w:lvlText w:val=""/>
      <w:lvlJc w:val="left"/>
      <w:pPr>
        <w:ind w:left="4320" w:hanging="360"/>
      </w:pPr>
      <w:rPr>
        <w:rFonts w:hint="default" w:ascii="Wingdings" w:hAnsi="Wingdings"/>
      </w:rPr>
    </w:lvl>
    <w:lvl w:ilvl="6" w:tplc="2500F274">
      <w:start w:val="1"/>
      <w:numFmt w:val="bullet"/>
      <w:lvlText w:val=""/>
      <w:lvlJc w:val="left"/>
      <w:pPr>
        <w:ind w:left="5040" w:hanging="360"/>
      </w:pPr>
      <w:rPr>
        <w:rFonts w:hint="default" w:ascii="Symbol" w:hAnsi="Symbol"/>
      </w:rPr>
    </w:lvl>
    <w:lvl w:ilvl="7" w:tplc="F01891DE">
      <w:start w:val="1"/>
      <w:numFmt w:val="bullet"/>
      <w:lvlText w:val="o"/>
      <w:lvlJc w:val="left"/>
      <w:pPr>
        <w:ind w:left="5760" w:hanging="360"/>
      </w:pPr>
      <w:rPr>
        <w:rFonts w:hint="default" w:ascii="Courier New" w:hAnsi="Courier New"/>
      </w:rPr>
    </w:lvl>
    <w:lvl w:ilvl="8" w:tplc="5E3E02F2">
      <w:start w:val="1"/>
      <w:numFmt w:val="bullet"/>
      <w:lvlText w:val=""/>
      <w:lvlJc w:val="left"/>
      <w:pPr>
        <w:ind w:left="6480" w:hanging="360"/>
      </w:pPr>
      <w:rPr>
        <w:rFonts w:hint="default" w:ascii="Wingdings" w:hAnsi="Wingdings"/>
      </w:rPr>
    </w:lvl>
  </w:abstractNum>
  <w:abstractNum w:abstractNumId="27" w15:restartNumberingAfterBreak="0">
    <w:nsid w:val="4F8D22D8"/>
    <w:multiLevelType w:val="hybridMultilevel"/>
    <w:tmpl w:val="835E4CB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563A2D71"/>
    <w:multiLevelType w:val="hybridMultilevel"/>
    <w:tmpl w:val="26F88374"/>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9" w15:restartNumberingAfterBreak="0">
    <w:nsid w:val="5984760C"/>
    <w:multiLevelType w:val="hybridMultilevel"/>
    <w:tmpl w:val="049E9A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5A582C3A"/>
    <w:multiLevelType w:val="hybridMultilevel"/>
    <w:tmpl w:val="C52CD396"/>
    <w:lvl w:ilvl="0" w:tplc="8FC02888">
      <w:start w:val="1"/>
      <w:numFmt w:val="upperLetter"/>
      <w:lvlText w:val="%1."/>
      <w:lvlJc w:val="left"/>
      <w:pPr>
        <w:ind w:left="1440" w:hanging="360"/>
      </w:pPr>
      <w:rPr>
        <w:rFonts w:hint="default"/>
        <w:b w:val="0"/>
        <w:bCs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BA927D1"/>
    <w:multiLevelType w:val="hybridMultilevel"/>
    <w:tmpl w:val="755A8E5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47667F"/>
    <w:multiLevelType w:val="hybridMultilevel"/>
    <w:tmpl w:val="0409001D"/>
    <w:lvl w:ilvl="0" w:tplc="7C80C4FC">
      <w:start w:val="1"/>
      <w:numFmt w:val="decimal"/>
      <w:lvlText w:val="%1)"/>
      <w:lvlJc w:val="left"/>
      <w:pPr>
        <w:ind w:left="360" w:hanging="360"/>
      </w:pPr>
    </w:lvl>
    <w:lvl w:ilvl="1" w:tplc="7C4AC1F4">
      <w:start w:val="1"/>
      <w:numFmt w:val="lowerLetter"/>
      <w:lvlText w:val="%2)"/>
      <w:lvlJc w:val="left"/>
      <w:pPr>
        <w:ind w:left="720" w:hanging="360"/>
      </w:pPr>
    </w:lvl>
    <w:lvl w:ilvl="2" w:tplc="310ADB06">
      <w:start w:val="1"/>
      <w:numFmt w:val="lowerRoman"/>
      <w:lvlText w:val="%3)"/>
      <w:lvlJc w:val="left"/>
      <w:pPr>
        <w:ind w:left="1080" w:hanging="360"/>
      </w:pPr>
    </w:lvl>
    <w:lvl w:ilvl="3" w:tplc="F84C4406">
      <w:start w:val="1"/>
      <w:numFmt w:val="decimal"/>
      <w:lvlText w:val="(%4)"/>
      <w:lvlJc w:val="left"/>
      <w:pPr>
        <w:ind w:left="1440" w:hanging="360"/>
      </w:pPr>
    </w:lvl>
    <w:lvl w:ilvl="4" w:tplc="FD2C104E">
      <w:start w:val="1"/>
      <w:numFmt w:val="lowerLetter"/>
      <w:lvlText w:val="(%5)"/>
      <w:lvlJc w:val="left"/>
      <w:pPr>
        <w:ind w:left="1800" w:hanging="360"/>
      </w:pPr>
    </w:lvl>
    <w:lvl w:ilvl="5" w:tplc="DF9CE252">
      <w:start w:val="1"/>
      <w:numFmt w:val="lowerRoman"/>
      <w:lvlText w:val="(%6)"/>
      <w:lvlJc w:val="left"/>
      <w:pPr>
        <w:ind w:left="2160" w:hanging="360"/>
      </w:pPr>
    </w:lvl>
    <w:lvl w:ilvl="6" w:tplc="E57E9162">
      <w:start w:val="1"/>
      <w:numFmt w:val="decimal"/>
      <w:lvlText w:val="%7."/>
      <w:lvlJc w:val="left"/>
      <w:pPr>
        <w:ind w:left="2520" w:hanging="360"/>
      </w:pPr>
    </w:lvl>
    <w:lvl w:ilvl="7" w:tplc="E15C0020">
      <w:start w:val="1"/>
      <w:numFmt w:val="lowerLetter"/>
      <w:lvlText w:val="%8."/>
      <w:lvlJc w:val="left"/>
      <w:pPr>
        <w:ind w:left="2880" w:hanging="360"/>
      </w:pPr>
    </w:lvl>
    <w:lvl w:ilvl="8" w:tplc="168AF416">
      <w:start w:val="1"/>
      <w:numFmt w:val="lowerRoman"/>
      <w:lvlText w:val="%9."/>
      <w:lvlJc w:val="left"/>
      <w:pPr>
        <w:ind w:left="3240" w:hanging="360"/>
      </w:pPr>
    </w:lvl>
  </w:abstractNum>
  <w:abstractNum w:abstractNumId="33" w15:restartNumberingAfterBreak="0">
    <w:nsid w:val="67AB4773"/>
    <w:multiLevelType w:val="hybridMultilevel"/>
    <w:tmpl w:val="13B6A456"/>
    <w:lvl w:ilvl="0" w:tplc="60FC04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F75E7B"/>
    <w:multiLevelType w:val="hybridMultilevel"/>
    <w:tmpl w:val="FFFFFFFF"/>
    <w:lvl w:ilvl="0" w:tplc="E1B68F52">
      <w:start w:val="1"/>
      <w:numFmt w:val="bullet"/>
      <w:lvlText w:val=""/>
      <w:lvlJc w:val="left"/>
      <w:pPr>
        <w:ind w:left="720" w:hanging="360"/>
      </w:pPr>
      <w:rPr>
        <w:rFonts w:hint="default" w:ascii="Symbol" w:hAnsi="Symbol"/>
      </w:rPr>
    </w:lvl>
    <w:lvl w:ilvl="1" w:tplc="A18860D2">
      <w:start w:val="1"/>
      <w:numFmt w:val="bullet"/>
      <w:lvlText w:val="o"/>
      <w:lvlJc w:val="left"/>
      <w:pPr>
        <w:ind w:left="1440" w:hanging="360"/>
      </w:pPr>
      <w:rPr>
        <w:rFonts w:hint="default" w:ascii="Courier New" w:hAnsi="Courier New"/>
      </w:rPr>
    </w:lvl>
    <w:lvl w:ilvl="2" w:tplc="EAC2A1DA">
      <w:start w:val="1"/>
      <w:numFmt w:val="bullet"/>
      <w:lvlText w:val=""/>
      <w:lvlJc w:val="left"/>
      <w:pPr>
        <w:ind w:left="2160" w:hanging="360"/>
      </w:pPr>
      <w:rPr>
        <w:rFonts w:hint="default" w:ascii="Symbol" w:hAnsi="Symbol"/>
      </w:rPr>
    </w:lvl>
    <w:lvl w:ilvl="3" w:tplc="CE10B56A">
      <w:start w:val="1"/>
      <w:numFmt w:val="bullet"/>
      <w:lvlText w:val=""/>
      <w:lvlJc w:val="left"/>
      <w:pPr>
        <w:ind w:left="2880" w:hanging="360"/>
      </w:pPr>
      <w:rPr>
        <w:rFonts w:hint="default" w:ascii="Symbol" w:hAnsi="Symbol"/>
      </w:rPr>
    </w:lvl>
    <w:lvl w:ilvl="4" w:tplc="26BC75B2">
      <w:start w:val="1"/>
      <w:numFmt w:val="bullet"/>
      <w:lvlText w:val="o"/>
      <w:lvlJc w:val="left"/>
      <w:pPr>
        <w:ind w:left="3600" w:hanging="360"/>
      </w:pPr>
      <w:rPr>
        <w:rFonts w:hint="default" w:ascii="Courier New" w:hAnsi="Courier New"/>
      </w:rPr>
    </w:lvl>
    <w:lvl w:ilvl="5" w:tplc="9F76F9C6">
      <w:start w:val="1"/>
      <w:numFmt w:val="bullet"/>
      <w:lvlText w:val=""/>
      <w:lvlJc w:val="left"/>
      <w:pPr>
        <w:ind w:left="4320" w:hanging="360"/>
      </w:pPr>
      <w:rPr>
        <w:rFonts w:hint="default" w:ascii="Wingdings" w:hAnsi="Wingdings"/>
      </w:rPr>
    </w:lvl>
    <w:lvl w:ilvl="6" w:tplc="EC08973C">
      <w:start w:val="1"/>
      <w:numFmt w:val="bullet"/>
      <w:lvlText w:val=""/>
      <w:lvlJc w:val="left"/>
      <w:pPr>
        <w:ind w:left="5040" w:hanging="360"/>
      </w:pPr>
      <w:rPr>
        <w:rFonts w:hint="default" w:ascii="Symbol" w:hAnsi="Symbol"/>
      </w:rPr>
    </w:lvl>
    <w:lvl w:ilvl="7" w:tplc="641E3C4A">
      <w:start w:val="1"/>
      <w:numFmt w:val="bullet"/>
      <w:lvlText w:val="o"/>
      <w:lvlJc w:val="left"/>
      <w:pPr>
        <w:ind w:left="5760" w:hanging="360"/>
      </w:pPr>
      <w:rPr>
        <w:rFonts w:hint="default" w:ascii="Courier New" w:hAnsi="Courier New"/>
      </w:rPr>
    </w:lvl>
    <w:lvl w:ilvl="8" w:tplc="4358D9E2">
      <w:start w:val="1"/>
      <w:numFmt w:val="bullet"/>
      <w:lvlText w:val=""/>
      <w:lvlJc w:val="left"/>
      <w:pPr>
        <w:ind w:left="6480" w:hanging="360"/>
      </w:pPr>
      <w:rPr>
        <w:rFonts w:hint="default" w:ascii="Wingdings" w:hAnsi="Wingdings"/>
      </w:rPr>
    </w:lvl>
  </w:abstractNum>
  <w:abstractNum w:abstractNumId="35" w15:restartNumberingAfterBreak="0">
    <w:nsid w:val="71EA6BF8"/>
    <w:multiLevelType w:val="hybridMultilevel"/>
    <w:tmpl w:val="B5C82E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DF4EA3"/>
    <w:multiLevelType w:val="hybridMultilevel"/>
    <w:tmpl w:val="B5C82E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304806"/>
    <w:multiLevelType w:val="hybridMultilevel"/>
    <w:tmpl w:val="9BEA02D8"/>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8" w15:restartNumberingAfterBreak="0">
    <w:nsid w:val="77B65C98"/>
    <w:multiLevelType w:val="hybridMultilevel"/>
    <w:tmpl w:val="1B2017AC"/>
    <w:lvl w:ilvl="0" w:tplc="6810923A">
      <w:start w:val="1"/>
      <w:numFmt w:val="bullet"/>
      <w:lvlText w:val="o"/>
      <w:lvlJc w:val="left"/>
      <w:pPr>
        <w:ind w:left="720" w:hanging="360"/>
      </w:pPr>
      <w:rPr>
        <w:rFonts w:hint="default" w:ascii="Courier New" w:hAnsi="Courier New"/>
      </w:rPr>
    </w:lvl>
    <w:lvl w:ilvl="1" w:tplc="26A277D4">
      <w:start w:val="1"/>
      <w:numFmt w:val="bullet"/>
      <w:lvlText w:val="o"/>
      <w:lvlJc w:val="left"/>
      <w:pPr>
        <w:ind w:left="1440" w:hanging="360"/>
      </w:pPr>
      <w:rPr>
        <w:rFonts w:hint="default" w:ascii="Courier New" w:hAnsi="Courier New"/>
      </w:rPr>
    </w:lvl>
    <w:lvl w:ilvl="2" w:tplc="657A8062">
      <w:start w:val="1"/>
      <w:numFmt w:val="bullet"/>
      <w:lvlText w:val=""/>
      <w:lvlJc w:val="left"/>
      <w:pPr>
        <w:ind w:left="2160" w:hanging="360"/>
      </w:pPr>
      <w:rPr>
        <w:rFonts w:hint="default" w:ascii="Wingdings" w:hAnsi="Wingdings"/>
      </w:rPr>
    </w:lvl>
    <w:lvl w:ilvl="3" w:tplc="90802A68">
      <w:start w:val="1"/>
      <w:numFmt w:val="bullet"/>
      <w:lvlText w:val=""/>
      <w:lvlJc w:val="left"/>
      <w:pPr>
        <w:ind w:left="2880" w:hanging="360"/>
      </w:pPr>
      <w:rPr>
        <w:rFonts w:hint="default" w:ascii="Symbol" w:hAnsi="Symbol"/>
      </w:rPr>
    </w:lvl>
    <w:lvl w:ilvl="4" w:tplc="3134009E">
      <w:start w:val="1"/>
      <w:numFmt w:val="bullet"/>
      <w:lvlText w:val="o"/>
      <w:lvlJc w:val="left"/>
      <w:pPr>
        <w:ind w:left="3600" w:hanging="360"/>
      </w:pPr>
      <w:rPr>
        <w:rFonts w:hint="default" w:ascii="Courier New" w:hAnsi="Courier New"/>
      </w:rPr>
    </w:lvl>
    <w:lvl w:ilvl="5" w:tplc="09CC1AC4">
      <w:start w:val="1"/>
      <w:numFmt w:val="bullet"/>
      <w:lvlText w:val=""/>
      <w:lvlJc w:val="left"/>
      <w:pPr>
        <w:ind w:left="4320" w:hanging="360"/>
      </w:pPr>
      <w:rPr>
        <w:rFonts w:hint="default" w:ascii="Wingdings" w:hAnsi="Wingdings"/>
      </w:rPr>
    </w:lvl>
    <w:lvl w:ilvl="6" w:tplc="2C0AF424">
      <w:start w:val="1"/>
      <w:numFmt w:val="bullet"/>
      <w:lvlText w:val=""/>
      <w:lvlJc w:val="left"/>
      <w:pPr>
        <w:ind w:left="5040" w:hanging="360"/>
      </w:pPr>
      <w:rPr>
        <w:rFonts w:hint="default" w:ascii="Symbol" w:hAnsi="Symbol"/>
      </w:rPr>
    </w:lvl>
    <w:lvl w:ilvl="7" w:tplc="C196098E">
      <w:start w:val="1"/>
      <w:numFmt w:val="bullet"/>
      <w:lvlText w:val="o"/>
      <w:lvlJc w:val="left"/>
      <w:pPr>
        <w:ind w:left="5760" w:hanging="360"/>
      </w:pPr>
      <w:rPr>
        <w:rFonts w:hint="default" w:ascii="Courier New" w:hAnsi="Courier New"/>
      </w:rPr>
    </w:lvl>
    <w:lvl w:ilvl="8" w:tplc="E06E92EA">
      <w:start w:val="1"/>
      <w:numFmt w:val="bullet"/>
      <w:lvlText w:val=""/>
      <w:lvlJc w:val="left"/>
      <w:pPr>
        <w:ind w:left="6480" w:hanging="360"/>
      </w:pPr>
      <w:rPr>
        <w:rFonts w:hint="default" w:ascii="Wingdings" w:hAnsi="Wingdings"/>
      </w:rPr>
    </w:lvl>
  </w:abstractNum>
  <w:abstractNum w:abstractNumId="39" w15:restartNumberingAfterBreak="0">
    <w:nsid w:val="7C8B44FD"/>
    <w:multiLevelType w:val="hybridMultilevel"/>
    <w:tmpl w:val="E4E23BC0"/>
    <w:lvl w:ilvl="0" w:tplc="A17EF21A">
      <w:start w:val="1"/>
      <w:numFmt w:val="bullet"/>
      <w:lvlText w:val=""/>
      <w:lvlJc w:val="left"/>
      <w:pPr>
        <w:ind w:left="720" w:hanging="360"/>
      </w:pPr>
      <w:rPr>
        <w:rFonts w:hint="default" w:ascii="Symbol" w:hAnsi="Symbol"/>
      </w:rPr>
    </w:lvl>
    <w:lvl w:ilvl="1" w:tplc="71485AE8">
      <w:start w:val="1"/>
      <w:numFmt w:val="bullet"/>
      <w:lvlText w:val=""/>
      <w:lvlJc w:val="left"/>
      <w:pPr>
        <w:ind w:left="1440" w:hanging="360"/>
      </w:pPr>
      <w:rPr>
        <w:rFonts w:hint="default" w:ascii="Symbol" w:hAnsi="Symbol"/>
      </w:rPr>
    </w:lvl>
    <w:lvl w:ilvl="2" w:tplc="DD8CF3E2">
      <w:start w:val="1"/>
      <w:numFmt w:val="bullet"/>
      <w:lvlText w:val=""/>
      <w:lvlJc w:val="left"/>
      <w:pPr>
        <w:ind w:left="2160" w:hanging="360"/>
      </w:pPr>
      <w:rPr>
        <w:rFonts w:hint="default" w:ascii="Wingdings" w:hAnsi="Wingdings"/>
      </w:rPr>
    </w:lvl>
    <w:lvl w:ilvl="3" w:tplc="D29C573A">
      <w:start w:val="1"/>
      <w:numFmt w:val="bullet"/>
      <w:lvlText w:val=""/>
      <w:lvlJc w:val="left"/>
      <w:pPr>
        <w:ind w:left="2880" w:hanging="360"/>
      </w:pPr>
      <w:rPr>
        <w:rFonts w:hint="default" w:ascii="Symbol" w:hAnsi="Symbol"/>
      </w:rPr>
    </w:lvl>
    <w:lvl w:ilvl="4" w:tplc="C24EB70E">
      <w:start w:val="1"/>
      <w:numFmt w:val="bullet"/>
      <w:lvlText w:val="o"/>
      <w:lvlJc w:val="left"/>
      <w:pPr>
        <w:ind w:left="3600" w:hanging="360"/>
      </w:pPr>
      <w:rPr>
        <w:rFonts w:hint="default" w:ascii="Courier New" w:hAnsi="Courier New"/>
      </w:rPr>
    </w:lvl>
    <w:lvl w:ilvl="5" w:tplc="1E18F730">
      <w:start w:val="1"/>
      <w:numFmt w:val="bullet"/>
      <w:lvlText w:val=""/>
      <w:lvlJc w:val="left"/>
      <w:pPr>
        <w:ind w:left="4320" w:hanging="360"/>
      </w:pPr>
      <w:rPr>
        <w:rFonts w:hint="default" w:ascii="Wingdings" w:hAnsi="Wingdings"/>
      </w:rPr>
    </w:lvl>
    <w:lvl w:ilvl="6" w:tplc="AD04021E">
      <w:start w:val="1"/>
      <w:numFmt w:val="bullet"/>
      <w:lvlText w:val=""/>
      <w:lvlJc w:val="left"/>
      <w:pPr>
        <w:ind w:left="5040" w:hanging="360"/>
      </w:pPr>
      <w:rPr>
        <w:rFonts w:hint="default" w:ascii="Symbol" w:hAnsi="Symbol"/>
      </w:rPr>
    </w:lvl>
    <w:lvl w:ilvl="7" w:tplc="B8623C6A">
      <w:start w:val="1"/>
      <w:numFmt w:val="bullet"/>
      <w:lvlText w:val="o"/>
      <w:lvlJc w:val="left"/>
      <w:pPr>
        <w:ind w:left="5760" w:hanging="360"/>
      </w:pPr>
      <w:rPr>
        <w:rFonts w:hint="default" w:ascii="Courier New" w:hAnsi="Courier New"/>
      </w:rPr>
    </w:lvl>
    <w:lvl w:ilvl="8" w:tplc="13AADE48">
      <w:start w:val="1"/>
      <w:numFmt w:val="bullet"/>
      <w:lvlText w:val=""/>
      <w:lvlJc w:val="left"/>
      <w:pPr>
        <w:ind w:left="6480" w:hanging="360"/>
      </w:pPr>
      <w:rPr>
        <w:rFonts w:hint="default" w:ascii="Wingdings" w:hAnsi="Wingdings"/>
      </w:rPr>
    </w:lvl>
  </w:abstractNum>
  <w:abstractNum w:abstractNumId="40" w15:restartNumberingAfterBreak="0">
    <w:nsid w:val="7CCC61F8"/>
    <w:multiLevelType w:val="hybridMultilevel"/>
    <w:tmpl w:val="57864706"/>
    <w:lvl w:ilvl="0" w:tplc="4120FED8">
      <w:start w:val="1"/>
      <w:numFmt w:val="bullet"/>
      <w:lvlText w:val=""/>
      <w:lvlJc w:val="left"/>
      <w:pPr>
        <w:ind w:left="720" w:hanging="360"/>
      </w:pPr>
      <w:rPr>
        <w:rFonts w:hint="default" w:ascii="Symbol" w:hAnsi="Symbol"/>
      </w:rPr>
    </w:lvl>
    <w:lvl w:ilvl="1" w:tplc="612AE7C2">
      <w:start w:val="1"/>
      <w:numFmt w:val="bullet"/>
      <w:lvlText w:val="o"/>
      <w:lvlJc w:val="left"/>
      <w:pPr>
        <w:ind w:left="1440" w:hanging="360"/>
      </w:pPr>
      <w:rPr>
        <w:rFonts w:hint="default" w:ascii="Courier New" w:hAnsi="Courier New"/>
      </w:rPr>
    </w:lvl>
    <w:lvl w:ilvl="2" w:tplc="924851DA">
      <w:start w:val="1"/>
      <w:numFmt w:val="bullet"/>
      <w:lvlText w:val=""/>
      <w:lvlJc w:val="left"/>
      <w:pPr>
        <w:ind w:left="2160" w:hanging="360"/>
      </w:pPr>
      <w:rPr>
        <w:rFonts w:hint="default" w:ascii="Symbol" w:hAnsi="Symbol"/>
      </w:rPr>
    </w:lvl>
    <w:lvl w:ilvl="3" w:tplc="7D4C2BB6">
      <w:start w:val="1"/>
      <w:numFmt w:val="bullet"/>
      <w:lvlText w:val=""/>
      <w:lvlJc w:val="left"/>
      <w:pPr>
        <w:ind w:left="2880" w:hanging="360"/>
      </w:pPr>
      <w:rPr>
        <w:rFonts w:hint="default" w:ascii="Symbol" w:hAnsi="Symbol"/>
      </w:rPr>
    </w:lvl>
    <w:lvl w:ilvl="4" w:tplc="530A2FDE">
      <w:start w:val="1"/>
      <w:numFmt w:val="bullet"/>
      <w:lvlText w:val="o"/>
      <w:lvlJc w:val="left"/>
      <w:pPr>
        <w:ind w:left="3600" w:hanging="360"/>
      </w:pPr>
      <w:rPr>
        <w:rFonts w:hint="default" w:ascii="Courier New" w:hAnsi="Courier New"/>
      </w:rPr>
    </w:lvl>
    <w:lvl w:ilvl="5" w:tplc="D158B4F6">
      <w:start w:val="1"/>
      <w:numFmt w:val="bullet"/>
      <w:lvlText w:val=""/>
      <w:lvlJc w:val="left"/>
      <w:pPr>
        <w:ind w:left="4320" w:hanging="360"/>
      </w:pPr>
      <w:rPr>
        <w:rFonts w:hint="default" w:ascii="Wingdings" w:hAnsi="Wingdings"/>
      </w:rPr>
    </w:lvl>
    <w:lvl w:ilvl="6" w:tplc="D56295A0">
      <w:start w:val="1"/>
      <w:numFmt w:val="bullet"/>
      <w:lvlText w:val=""/>
      <w:lvlJc w:val="left"/>
      <w:pPr>
        <w:ind w:left="5040" w:hanging="360"/>
      </w:pPr>
      <w:rPr>
        <w:rFonts w:hint="default" w:ascii="Symbol" w:hAnsi="Symbol"/>
      </w:rPr>
    </w:lvl>
    <w:lvl w:ilvl="7" w:tplc="C60AEEF0">
      <w:start w:val="1"/>
      <w:numFmt w:val="bullet"/>
      <w:lvlText w:val="o"/>
      <w:lvlJc w:val="left"/>
      <w:pPr>
        <w:ind w:left="5760" w:hanging="360"/>
      </w:pPr>
      <w:rPr>
        <w:rFonts w:hint="default" w:ascii="Courier New" w:hAnsi="Courier New"/>
      </w:rPr>
    </w:lvl>
    <w:lvl w:ilvl="8" w:tplc="139C9CDC">
      <w:start w:val="1"/>
      <w:numFmt w:val="bullet"/>
      <w:lvlText w:val=""/>
      <w:lvlJc w:val="left"/>
      <w:pPr>
        <w:ind w:left="6480" w:hanging="360"/>
      </w:pPr>
      <w:rPr>
        <w:rFonts w:hint="default" w:ascii="Wingdings" w:hAnsi="Wingdings"/>
      </w:rPr>
    </w:lvl>
  </w:abstractNum>
  <w:num w:numId="1">
    <w:abstractNumId w:val="21"/>
  </w:num>
  <w:num w:numId="2">
    <w:abstractNumId w:val="16"/>
  </w:num>
  <w:num w:numId="3">
    <w:abstractNumId w:val="7"/>
  </w:num>
  <w:num w:numId="4">
    <w:abstractNumId w:val="11"/>
  </w:num>
  <w:num w:numId="5">
    <w:abstractNumId w:val="33"/>
  </w:num>
  <w:num w:numId="6">
    <w:abstractNumId w:val="9"/>
  </w:num>
  <w:num w:numId="7">
    <w:abstractNumId w:val="1"/>
  </w:num>
  <w:num w:numId="8">
    <w:abstractNumId w:val="19"/>
  </w:num>
  <w:num w:numId="9">
    <w:abstractNumId w:val="0"/>
  </w:num>
  <w:num w:numId="10">
    <w:abstractNumId w:val="32"/>
  </w:num>
  <w:num w:numId="11">
    <w:abstractNumId w:val="37"/>
  </w:num>
  <w:num w:numId="12">
    <w:abstractNumId w:val="3"/>
  </w:num>
  <w:num w:numId="13">
    <w:abstractNumId w:val="25"/>
  </w:num>
  <w:num w:numId="14">
    <w:abstractNumId w:val="26"/>
  </w:num>
  <w:num w:numId="15">
    <w:abstractNumId w:val="23"/>
  </w:num>
  <w:num w:numId="16">
    <w:abstractNumId w:val="39"/>
  </w:num>
  <w:num w:numId="17">
    <w:abstractNumId w:val="40"/>
  </w:num>
  <w:num w:numId="18">
    <w:abstractNumId w:val="6"/>
  </w:num>
  <w:num w:numId="19">
    <w:abstractNumId w:val="5"/>
  </w:num>
  <w:num w:numId="20">
    <w:abstractNumId w:val="34"/>
  </w:num>
  <w:num w:numId="21">
    <w:abstractNumId w:val="22"/>
  </w:num>
  <w:num w:numId="22">
    <w:abstractNumId w:val="29"/>
  </w:num>
  <w:num w:numId="23">
    <w:abstractNumId w:val="10"/>
  </w:num>
  <w:num w:numId="24">
    <w:abstractNumId w:val="28"/>
  </w:num>
  <w:num w:numId="25">
    <w:abstractNumId w:val="8"/>
  </w:num>
  <w:num w:numId="26">
    <w:abstractNumId w:val="27"/>
  </w:num>
  <w:num w:numId="27">
    <w:abstractNumId w:val="24"/>
  </w:num>
  <w:num w:numId="28">
    <w:abstractNumId w:val="18"/>
  </w:num>
  <w:num w:numId="29">
    <w:abstractNumId w:val="13"/>
  </w:num>
  <w:num w:numId="30">
    <w:abstractNumId w:val="4"/>
  </w:num>
  <w:num w:numId="31">
    <w:abstractNumId w:val="31"/>
  </w:num>
  <w:num w:numId="32">
    <w:abstractNumId w:val="12"/>
  </w:num>
  <w:num w:numId="33">
    <w:abstractNumId w:val="38"/>
  </w:num>
  <w:num w:numId="34">
    <w:abstractNumId w:val="15"/>
  </w:num>
  <w:num w:numId="35">
    <w:abstractNumId w:val="14"/>
  </w:num>
  <w:num w:numId="36">
    <w:abstractNumId w:val="20"/>
  </w:num>
  <w:num w:numId="37">
    <w:abstractNumId w:val="2"/>
  </w:num>
  <w:num w:numId="38">
    <w:abstractNumId w:val="30"/>
  </w:num>
  <w:num w:numId="39">
    <w:abstractNumId w:val="17"/>
  </w:num>
  <w:num w:numId="40">
    <w:abstractNumId w:val="36"/>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2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E8B"/>
    <w:rsid w:val="0000048F"/>
    <w:rsid w:val="00002948"/>
    <w:rsid w:val="000034C1"/>
    <w:rsid w:val="00003BCF"/>
    <w:rsid w:val="00004630"/>
    <w:rsid w:val="00004A69"/>
    <w:rsid w:val="00005A8C"/>
    <w:rsid w:val="00007910"/>
    <w:rsid w:val="0000D340"/>
    <w:rsid w:val="00010E26"/>
    <w:rsid w:val="00010F79"/>
    <w:rsid w:val="0001160F"/>
    <w:rsid w:val="00015235"/>
    <w:rsid w:val="000152A3"/>
    <w:rsid w:val="00016185"/>
    <w:rsid w:val="00016987"/>
    <w:rsid w:val="00016AF9"/>
    <w:rsid w:val="000176D7"/>
    <w:rsid w:val="00017A4F"/>
    <w:rsid w:val="00017FA1"/>
    <w:rsid w:val="0002114F"/>
    <w:rsid w:val="0002173F"/>
    <w:rsid w:val="00023062"/>
    <w:rsid w:val="00023342"/>
    <w:rsid w:val="000235D4"/>
    <w:rsid w:val="00023771"/>
    <w:rsid w:val="00023A88"/>
    <w:rsid w:val="00023E54"/>
    <w:rsid w:val="000246C5"/>
    <w:rsid w:val="00026233"/>
    <w:rsid w:val="000272CE"/>
    <w:rsid w:val="0002782D"/>
    <w:rsid w:val="0003031C"/>
    <w:rsid w:val="00031B7B"/>
    <w:rsid w:val="000334D6"/>
    <w:rsid w:val="000371FA"/>
    <w:rsid w:val="00037261"/>
    <w:rsid w:val="000401A5"/>
    <w:rsid w:val="00040419"/>
    <w:rsid w:val="000404A1"/>
    <w:rsid w:val="000406B6"/>
    <w:rsid w:val="00041691"/>
    <w:rsid w:val="000444B0"/>
    <w:rsid w:val="00045141"/>
    <w:rsid w:val="000454A2"/>
    <w:rsid w:val="00050CCA"/>
    <w:rsid w:val="00050E51"/>
    <w:rsid w:val="00051B4D"/>
    <w:rsid w:val="00051DD2"/>
    <w:rsid w:val="0005303A"/>
    <w:rsid w:val="0005462A"/>
    <w:rsid w:val="00054B6A"/>
    <w:rsid w:val="00055568"/>
    <w:rsid w:val="00055EDC"/>
    <w:rsid w:val="00057068"/>
    <w:rsid w:val="000575C8"/>
    <w:rsid w:val="00057882"/>
    <w:rsid w:val="0005793C"/>
    <w:rsid w:val="00060DB4"/>
    <w:rsid w:val="00060E7F"/>
    <w:rsid w:val="000656F9"/>
    <w:rsid w:val="0006580A"/>
    <w:rsid w:val="0007126D"/>
    <w:rsid w:val="0007351D"/>
    <w:rsid w:val="00073648"/>
    <w:rsid w:val="000755F6"/>
    <w:rsid w:val="00076138"/>
    <w:rsid w:val="000766AC"/>
    <w:rsid w:val="00077EAC"/>
    <w:rsid w:val="00081A31"/>
    <w:rsid w:val="0008268A"/>
    <w:rsid w:val="00083001"/>
    <w:rsid w:val="000841B2"/>
    <w:rsid w:val="000845F1"/>
    <w:rsid w:val="0008633B"/>
    <w:rsid w:val="00087014"/>
    <w:rsid w:val="000871A4"/>
    <w:rsid w:val="00087347"/>
    <w:rsid w:val="00087502"/>
    <w:rsid w:val="00087E08"/>
    <w:rsid w:val="00087E17"/>
    <w:rsid w:val="00090416"/>
    <w:rsid w:val="00094681"/>
    <w:rsid w:val="00094794"/>
    <w:rsid w:val="000949B2"/>
    <w:rsid w:val="000A0E6E"/>
    <w:rsid w:val="000A0ED0"/>
    <w:rsid w:val="000A2092"/>
    <w:rsid w:val="000A27E0"/>
    <w:rsid w:val="000A2F2B"/>
    <w:rsid w:val="000A2FAA"/>
    <w:rsid w:val="000A43FD"/>
    <w:rsid w:val="000A514D"/>
    <w:rsid w:val="000B0BC8"/>
    <w:rsid w:val="000B3342"/>
    <w:rsid w:val="000B373F"/>
    <w:rsid w:val="000B3751"/>
    <w:rsid w:val="000B3E2B"/>
    <w:rsid w:val="000B7005"/>
    <w:rsid w:val="000B7289"/>
    <w:rsid w:val="000B885D"/>
    <w:rsid w:val="000C1466"/>
    <w:rsid w:val="000C1974"/>
    <w:rsid w:val="000C22EC"/>
    <w:rsid w:val="000C40AB"/>
    <w:rsid w:val="000C6A51"/>
    <w:rsid w:val="000C6CD4"/>
    <w:rsid w:val="000D2DC4"/>
    <w:rsid w:val="000D3C7D"/>
    <w:rsid w:val="000D549D"/>
    <w:rsid w:val="000D59FA"/>
    <w:rsid w:val="000D606C"/>
    <w:rsid w:val="000D60B4"/>
    <w:rsid w:val="000D6367"/>
    <w:rsid w:val="000D79CF"/>
    <w:rsid w:val="000E01A7"/>
    <w:rsid w:val="000E159D"/>
    <w:rsid w:val="000E1906"/>
    <w:rsid w:val="000E2537"/>
    <w:rsid w:val="000E44EF"/>
    <w:rsid w:val="000E54EC"/>
    <w:rsid w:val="000E6957"/>
    <w:rsid w:val="000F09B4"/>
    <w:rsid w:val="000F1CBE"/>
    <w:rsid w:val="000F2E90"/>
    <w:rsid w:val="000F3B2E"/>
    <w:rsid w:val="000F5040"/>
    <w:rsid w:val="000F5324"/>
    <w:rsid w:val="000F6269"/>
    <w:rsid w:val="000F62C0"/>
    <w:rsid w:val="000F74B9"/>
    <w:rsid w:val="00100C01"/>
    <w:rsid w:val="00101378"/>
    <w:rsid w:val="00102108"/>
    <w:rsid w:val="001029F9"/>
    <w:rsid w:val="00103936"/>
    <w:rsid w:val="00106034"/>
    <w:rsid w:val="00106FE9"/>
    <w:rsid w:val="0010741C"/>
    <w:rsid w:val="001117D5"/>
    <w:rsid w:val="00112AC1"/>
    <w:rsid w:val="00112CBD"/>
    <w:rsid w:val="0011369D"/>
    <w:rsid w:val="00113C4E"/>
    <w:rsid w:val="00113C5C"/>
    <w:rsid w:val="00117A0F"/>
    <w:rsid w:val="00117AC0"/>
    <w:rsid w:val="001201B0"/>
    <w:rsid w:val="00120364"/>
    <w:rsid w:val="001245D1"/>
    <w:rsid w:val="00125924"/>
    <w:rsid w:val="00127D82"/>
    <w:rsid w:val="001310A3"/>
    <w:rsid w:val="00131884"/>
    <w:rsid w:val="0013197B"/>
    <w:rsid w:val="00132836"/>
    <w:rsid w:val="00135030"/>
    <w:rsid w:val="001356CB"/>
    <w:rsid w:val="00135ABE"/>
    <w:rsid w:val="0013654C"/>
    <w:rsid w:val="001365F3"/>
    <w:rsid w:val="00137499"/>
    <w:rsid w:val="00137885"/>
    <w:rsid w:val="001424C7"/>
    <w:rsid w:val="00142649"/>
    <w:rsid w:val="001426C6"/>
    <w:rsid w:val="00151FBE"/>
    <w:rsid w:val="00154616"/>
    <w:rsid w:val="0015752D"/>
    <w:rsid w:val="00161742"/>
    <w:rsid w:val="001624F1"/>
    <w:rsid w:val="00163011"/>
    <w:rsid w:val="00163332"/>
    <w:rsid w:val="00164DEA"/>
    <w:rsid w:val="0016566F"/>
    <w:rsid w:val="001671D6"/>
    <w:rsid w:val="00167568"/>
    <w:rsid w:val="00167D63"/>
    <w:rsid w:val="0017069D"/>
    <w:rsid w:val="001713C8"/>
    <w:rsid w:val="00171624"/>
    <w:rsid w:val="001716D4"/>
    <w:rsid w:val="001718D1"/>
    <w:rsid w:val="00171CC9"/>
    <w:rsid w:val="001727ED"/>
    <w:rsid w:val="00172D56"/>
    <w:rsid w:val="00172E9B"/>
    <w:rsid w:val="00173296"/>
    <w:rsid w:val="00175691"/>
    <w:rsid w:val="00176988"/>
    <w:rsid w:val="0018086D"/>
    <w:rsid w:val="00180ABD"/>
    <w:rsid w:val="00180DF0"/>
    <w:rsid w:val="00182A56"/>
    <w:rsid w:val="00182AB8"/>
    <w:rsid w:val="00183134"/>
    <w:rsid w:val="00183DB5"/>
    <w:rsid w:val="00184830"/>
    <w:rsid w:val="00184C08"/>
    <w:rsid w:val="001857A3"/>
    <w:rsid w:val="0018600F"/>
    <w:rsid w:val="00187905"/>
    <w:rsid w:val="00187D1B"/>
    <w:rsid w:val="001901B1"/>
    <w:rsid w:val="00190498"/>
    <w:rsid w:val="001908F2"/>
    <w:rsid w:val="00191F50"/>
    <w:rsid w:val="00192957"/>
    <w:rsid w:val="00195799"/>
    <w:rsid w:val="0019597B"/>
    <w:rsid w:val="00195A6E"/>
    <w:rsid w:val="00196797"/>
    <w:rsid w:val="0019B318"/>
    <w:rsid w:val="001A0200"/>
    <w:rsid w:val="001A0901"/>
    <w:rsid w:val="001A448F"/>
    <w:rsid w:val="001A575C"/>
    <w:rsid w:val="001A635F"/>
    <w:rsid w:val="001B0466"/>
    <w:rsid w:val="001B04B1"/>
    <w:rsid w:val="001B07E5"/>
    <w:rsid w:val="001B11D5"/>
    <w:rsid w:val="001B40FE"/>
    <w:rsid w:val="001B54D3"/>
    <w:rsid w:val="001B71BD"/>
    <w:rsid w:val="001B7FC9"/>
    <w:rsid w:val="001C1606"/>
    <w:rsid w:val="001C1CB0"/>
    <w:rsid w:val="001C1FFA"/>
    <w:rsid w:val="001C22B6"/>
    <w:rsid w:val="001C2A35"/>
    <w:rsid w:val="001C5887"/>
    <w:rsid w:val="001C598F"/>
    <w:rsid w:val="001C686C"/>
    <w:rsid w:val="001C7F36"/>
    <w:rsid w:val="001CAE3A"/>
    <w:rsid w:val="001D0B12"/>
    <w:rsid w:val="001D203D"/>
    <w:rsid w:val="001D20FF"/>
    <w:rsid w:val="001D297A"/>
    <w:rsid w:val="001D4711"/>
    <w:rsid w:val="001D4728"/>
    <w:rsid w:val="001D565B"/>
    <w:rsid w:val="001D6D21"/>
    <w:rsid w:val="001E11A2"/>
    <w:rsid w:val="001E2174"/>
    <w:rsid w:val="001E2DF4"/>
    <w:rsid w:val="001E42F4"/>
    <w:rsid w:val="001E6B0F"/>
    <w:rsid w:val="001E7DF0"/>
    <w:rsid w:val="001F0544"/>
    <w:rsid w:val="001F3457"/>
    <w:rsid w:val="001F393D"/>
    <w:rsid w:val="001F3A53"/>
    <w:rsid w:val="001F4A56"/>
    <w:rsid w:val="001F4D27"/>
    <w:rsid w:val="001F5C85"/>
    <w:rsid w:val="001F675B"/>
    <w:rsid w:val="001F6F46"/>
    <w:rsid w:val="001F72A3"/>
    <w:rsid w:val="001F78D4"/>
    <w:rsid w:val="001F7BD8"/>
    <w:rsid w:val="001F7FB8"/>
    <w:rsid w:val="002000DE"/>
    <w:rsid w:val="00200F75"/>
    <w:rsid w:val="002010AA"/>
    <w:rsid w:val="0020535E"/>
    <w:rsid w:val="002077BD"/>
    <w:rsid w:val="00207813"/>
    <w:rsid w:val="002104DD"/>
    <w:rsid w:val="00210CAB"/>
    <w:rsid w:val="00211758"/>
    <w:rsid w:val="00211D37"/>
    <w:rsid w:val="00213755"/>
    <w:rsid w:val="0021462D"/>
    <w:rsid w:val="00214DF2"/>
    <w:rsid w:val="00214FC0"/>
    <w:rsid w:val="002157EF"/>
    <w:rsid w:val="0021604E"/>
    <w:rsid w:val="002161F8"/>
    <w:rsid w:val="002168AD"/>
    <w:rsid w:val="00216C02"/>
    <w:rsid w:val="0021716E"/>
    <w:rsid w:val="0021745B"/>
    <w:rsid w:val="00217EC3"/>
    <w:rsid w:val="00217ECA"/>
    <w:rsid w:val="00217FF1"/>
    <w:rsid w:val="00220CA4"/>
    <w:rsid w:val="00222471"/>
    <w:rsid w:val="00222C43"/>
    <w:rsid w:val="002232AF"/>
    <w:rsid w:val="00224EFA"/>
    <w:rsid w:val="00230634"/>
    <w:rsid w:val="00233EFA"/>
    <w:rsid w:val="00234213"/>
    <w:rsid w:val="00234826"/>
    <w:rsid w:val="00235953"/>
    <w:rsid w:val="00236CD3"/>
    <w:rsid w:val="0024003C"/>
    <w:rsid w:val="002400B2"/>
    <w:rsid w:val="002409CD"/>
    <w:rsid w:val="002409DD"/>
    <w:rsid w:val="0024112C"/>
    <w:rsid w:val="00243B7F"/>
    <w:rsid w:val="0024430B"/>
    <w:rsid w:val="00244C12"/>
    <w:rsid w:val="002504AE"/>
    <w:rsid w:val="00250948"/>
    <w:rsid w:val="002516D6"/>
    <w:rsid w:val="00251847"/>
    <w:rsid w:val="00253FCC"/>
    <w:rsid w:val="00255663"/>
    <w:rsid w:val="002562F3"/>
    <w:rsid w:val="00260191"/>
    <w:rsid w:val="00262514"/>
    <w:rsid w:val="00263F8F"/>
    <w:rsid w:val="002720C2"/>
    <w:rsid w:val="00273E7C"/>
    <w:rsid w:val="00274173"/>
    <w:rsid w:val="0027503F"/>
    <w:rsid w:val="002751B0"/>
    <w:rsid w:val="00277675"/>
    <w:rsid w:val="002810BD"/>
    <w:rsid w:val="0028257A"/>
    <w:rsid w:val="00282827"/>
    <w:rsid w:val="0028295E"/>
    <w:rsid w:val="00283724"/>
    <w:rsid w:val="002851CC"/>
    <w:rsid w:val="00286092"/>
    <w:rsid w:val="002865CF"/>
    <w:rsid w:val="00291BEA"/>
    <w:rsid w:val="00292D37"/>
    <w:rsid w:val="00293D1C"/>
    <w:rsid w:val="00294E4F"/>
    <w:rsid w:val="00295616"/>
    <w:rsid w:val="00295DD1"/>
    <w:rsid w:val="002A0011"/>
    <w:rsid w:val="002A0790"/>
    <w:rsid w:val="002A0B6B"/>
    <w:rsid w:val="002A27C9"/>
    <w:rsid w:val="002A2BA8"/>
    <w:rsid w:val="002A31D6"/>
    <w:rsid w:val="002A57C9"/>
    <w:rsid w:val="002A6C0E"/>
    <w:rsid w:val="002A70BA"/>
    <w:rsid w:val="002B0902"/>
    <w:rsid w:val="002B0DE7"/>
    <w:rsid w:val="002B10EF"/>
    <w:rsid w:val="002B1CA4"/>
    <w:rsid w:val="002B2F5C"/>
    <w:rsid w:val="002B555C"/>
    <w:rsid w:val="002B58FC"/>
    <w:rsid w:val="002B69D5"/>
    <w:rsid w:val="002B7370"/>
    <w:rsid w:val="002C4101"/>
    <w:rsid w:val="002C4A8D"/>
    <w:rsid w:val="002C5E2C"/>
    <w:rsid w:val="002D19F9"/>
    <w:rsid w:val="002D1DBF"/>
    <w:rsid w:val="002D24A6"/>
    <w:rsid w:val="002D258B"/>
    <w:rsid w:val="002D270C"/>
    <w:rsid w:val="002D2A7A"/>
    <w:rsid w:val="002D53C5"/>
    <w:rsid w:val="002D54B2"/>
    <w:rsid w:val="002D5879"/>
    <w:rsid w:val="002D66F5"/>
    <w:rsid w:val="002D7889"/>
    <w:rsid w:val="002E098F"/>
    <w:rsid w:val="002E0B4E"/>
    <w:rsid w:val="002E123D"/>
    <w:rsid w:val="002E3B92"/>
    <w:rsid w:val="002E49A8"/>
    <w:rsid w:val="002E53B7"/>
    <w:rsid w:val="002E6F8E"/>
    <w:rsid w:val="002E7703"/>
    <w:rsid w:val="002F02F2"/>
    <w:rsid w:val="002F11EF"/>
    <w:rsid w:val="002F12C0"/>
    <w:rsid w:val="002F2D56"/>
    <w:rsid w:val="002F3925"/>
    <w:rsid w:val="002F3D10"/>
    <w:rsid w:val="002F4E96"/>
    <w:rsid w:val="002F4EEF"/>
    <w:rsid w:val="002F5869"/>
    <w:rsid w:val="002F7E78"/>
    <w:rsid w:val="00300EA5"/>
    <w:rsid w:val="00301CA9"/>
    <w:rsid w:val="00303247"/>
    <w:rsid w:val="003033D4"/>
    <w:rsid w:val="00303A04"/>
    <w:rsid w:val="00303DAE"/>
    <w:rsid w:val="003044E4"/>
    <w:rsid w:val="003049AB"/>
    <w:rsid w:val="00306782"/>
    <w:rsid w:val="00306DED"/>
    <w:rsid w:val="00307F5E"/>
    <w:rsid w:val="00310A20"/>
    <w:rsid w:val="00311E54"/>
    <w:rsid w:val="00312926"/>
    <w:rsid w:val="00312A24"/>
    <w:rsid w:val="00313195"/>
    <w:rsid w:val="00313534"/>
    <w:rsid w:val="00313738"/>
    <w:rsid w:val="00314D43"/>
    <w:rsid w:val="00321543"/>
    <w:rsid w:val="003215BF"/>
    <w:rsid w:val="00322306"/>
    <w:rsid w:val="0032258C"/>
    <w:rsid w:val="00325CF7"/>
    <w:rsid w:val="00325EE3"/>
    <w:rsid w:val="00330AC1"/>
    <w:rsid w:val="00330C4A"/>
    <w:rsid w:val="00330CAF"/>
    <w:rsid w:val="0033240D"/>
    <w:rsid w:val="003329D5"/>
    <w:rsid w:val="003332CB"/>
    <w:rsid w:val="00335086"/>
    <w:rsid w:val="00335E36"/>
    <w:rsid w:val="00335FAB"/>
    <w:rsid w:val="0033649C"/>
    <w:rsid w:val="00337F0E"/>
    <w:rsid w:val="00340138"/>
    <w:rsid w:val="0034151C"/>
    <w:rsid w:val="00343989"/>
    <w:rsid w:val="003457CA"/>
    <w:rsid w:val="003503D8"/>
    <w:rsid w:val="00350F8F"/>
    <w:rsid w:val="00352400"/>
    <w:rsid w:val="003558F1"/>
    <w:rsid w:val="00355906"/>
    <w:rsid w:val="00355C87"/>
    <w:rsid w:val="003570E2"/>
    <w:rsid w:val="00360AB4"/>
    <w:rsid w:val="00360B24"/>
    <w:rsid w:val="00362564"/>
    <w:rsid w:val="00366207"/>
    <w:rsid w:val="003665E2"/>
    <w:rsid w:val="0036663A"/>
    <w:rsid w:val="003703FE"/>
    <w:rsid w:val="00370BDF"/>
    <w:rsid w:val="003725B5"/>
    <w:rsid w:val="0037266D"/>
    <w:rsid w:val="00372E9E"/>
    <w:rsid w:val="00372F34"/>
    <w:rsid w:val="0037304C"/>
    <w:rsid w:val="00373D06"/>
    <w:rsid w:val="00373D2A"/>
    <w:rsid w:val="00374421"/>
    <w:rsid w:val="003748A7"/>
    <w:rsid w:val="00376D40"/>
    <w:rsid w:val="00377B86"/>
    <w:rsid w:val="00377EFC"/>
    <w:rsid w:val="0038022C"/>
    <w:rsid w:val="00380F3B"/>
    <w:rsid w:val="0038126F"/>
    <w:rsid w:val="00381ED2"/>
    <w:rsid w:val="00384E67"/>
    <w:rsid w:val="003850F7"/>
    <w:rsid w:val="003855A2"/>
    <w:rsid w:val="00385B3B"/>
    <w:rsid w:val="00385DDB"/>
    <w:rsid w:val="00385EC8"/>
    <w:rsid w:val="003869C2"/>
    <w:rsid w:val="00387573"/>
    <w:rsid w:val="00387D1F"/>
    <w:rsid w:val="00391C8C"/>
    <w:rsid w:val="00391DD3"/>
    <w:rsid w:val="00393E7C"/>
    <w:rsid w:val="003952E3"/>
    <w:rsid w:val="00396340"/>
    <w:rsid w:val="003966F1"/>
    <w:rsid w:val="00396B0A"/>
    <w:rsid w:val="00396C63"/>
    <w:rsid w:val="0039785E"/>
    <w:rsid w:val="003A114F"/>
    <w:rsid w:val="003A17CC"/>
    <w:rsid w:val="003A189A"/>
    <w:rsid w:val="003A24E6"/>
    <w:rsid w:val="003A2B48"/>
    <w:rsid w:val="003A3E79"/>
    <w:rsid w:val="003A5BC9"/>
    <w:rsid w:val="003A6305"/>
    <w:rsid w:val="003A6490"/>
    <w:rsid w:val="003A6AA7"/>
    <w:rsid w:val="003A6BBA"/>
    <w:rsid w:val="003B068F"/>
    <w:rsid w:val="003B198F"/>
    <w:rsid w:val="003B22F8"/>
    <w:rsid w:val="003B2C83"/>
    <w:rsid w:val="003B3DCC"/>
    <w:rsid w:val="003B4927"/>
    <w:rsid w:val="003B5EAA"/>
    <w:rsid w:val="003B66D4"/>
    <w:rsid w:val="003B7DED"/>
    <w:rsid w:val="003C042D"/>
    <w:rsid w:val="003C0B29"/>
    <w:rsid w:val="003C26EA"/>
    <w:rsid w:val="003C2C08"/>
    <w:rsid w:val="003C3679"/>
    <w:rsid w:val="003C3C52"/>
    <w:rsid w:val="003C447A"/>
    <w:rsid w:val="003C493C"/>
    <w:rsid w:val="003C5208"/>
    <w:rsid w:val="003C5688"/>
    <w:rsid w:val="003C5C1D"/>
    <w:rsid w:val="003C7A27"/>
    <w:rsid w:val="003C7A57"/>
    <w:rsid w:val="003C7F23"/>
    <w:rsid w:val="003D042E"/>
    <w:rsid w:val="003D0A7C"/>
    <w:rsid w:val="003D2955"/>
    <w:rsid w:val="003D2F23"/>
    <w:rsid w:val="003D3A3E"/>
    <w:rsid w:val="003D4A04"/>
    <w:rsid w:val="003D671A"/>
    <w:rsid w:val="003D7AE3"/>
    <w:rsid w:val="003E3DBB"/>
    <w:rsid w:val="003E66F8"/>
    <w:rsid w:val="003E6DC1"/>
    <w:rsid w:val="003EF01B"/>
    <w:rsid w:val="003F0217"/>
    <w:rsid w:val="003F1143"/>
    <w:rsid w:val="003F141F"/>
    <w:rsid w:val="003F179A"/>
    <w:rsid w:val="003F263C"/>
    <w:rsid w:val="003F4B75"/>
    <w:rsid w:val="003F5C89"/>
    <w:rsid w:val="003F6172"/>
    <w:rsid w:val="003F6B2A"/>
    <w:rsid w:val="003F6E0D"/>
    <w:rsid w:val="003F784B"/>
    <w:rsid w:val="003F78AE"/>
    <w:rsid w:val="003F7E94"/>
    <w:rsid w:val="003F87D9"/>
    <w:rsid w:val="004001C7"/>
    <w:rsid w:val="004015DA"/>
    <w:rsid w:val="0040174F"/>
    <w:rsid w:val="0040209A"/>
    <w:rsid w:val="004028D4"/>
    <w:rsid w:val="00403B9C"/>
    <w:rsid w:val="0040445A"/>
    <w:rsid w:val="00404546"/>
    <w:rsid w:val="00404969"/>
    <w:rsid w:val="00404DDF"/>
    <w:rsid w:val="00405268"/>
    <w:rsid w:val="00405B38"/>
    <w:rsid w:val="004112A4"/>
    <w:rsid w:val="0041198F"/>
    <w:rsid w:val="00413943"/>
    <w:rsid w:val="00415C4F"/>
    <w:rsid w:val="004176F8"/>
    <w:rsid w:val="0041779E"/>
    <w:rsid w:val="00417816"/>
    <w:rsid w:val="004200F9"/>
    <w:rsid w:val="00420716"/>
    <w:rsid w:val="00420E1F"/>
    <w:rsid w:val="00421093"/>
    <w:rsid w:val="004211F6"/>
    <w:rsid w:val="004228BD"/>
    <w:rsid w:val="00423792"/>
    <w:rsid w:val="00424A82"/>
    <w:rsid w:val="004259C6"/>
    <w:rsid w:val="00425A89"/>
    <w:rsid w:val="0042743B"/>
    <w:rsid w:val="004301F8"/>
    <w:rsid w:val="0043058D"/>
    <w:rsid w:val="00430F11"/>
    <w:rsid w:val="00431F24"/>
    <w:rsid w:val="004320AE"/>
    <w:rsid w:val="004324EF"/>
    <w:rsid w:val="00432E7C"/>
    <w:rsid w:val="0043398A"/>
    <w:rsid w:val="004339D3"/>
    <w:rsid w:val="004342BF"/>
    <w:rsid w:val="004356F1"/>
    <w:rsid w:val="00435986"/>
    <w:rsid w:val="00436C70"/>
    <w:rsid w:val="004373B9"/>
    <w:rsid w:val="004377CE"/>
    <w:rsid w:val="004379E7"/>
    <w:rsid w:val="0044076A"/>
    <w:rsid w:val="004408E9"/>
    <w:rsid w:val="00443678"/>
    <w:rsid w:val="00444ED9"/>
    <w:rsid w:val="0044533D"/>
    <w:rsid w:val="00445769"/>
    <w:rsid w:val="00447192"/>
    <w:rsid w:val="00450A99"/>
    <w:rsid w:val="00450B93"/>
    <w:rsid w:val="00451494"/>
    <w:rsid w:val="00451BAA"/>
    <w:rsid w:val="0045209B"/>
    <w:rsid w:val="004525DE"/>
    <w:rsid w:val="00455AA1"/>
    <w:rsid w:val="00456622"/>
    <w:rsid w:val="00456D50"/>
    <w:rsid w:val="004579D2"/>
    <w:rsid w:val="00460720"/>
    <w:rsid w:val="0046088C"/>
    <w:rsid w:val="00460F9F"/>
    <w:rsid w:val="0046210A"/>
    <w:rsid w:val="00463B08"/>
    <w:rsid w:val="00466B2D"/>
    <w:rsid w:val="0046778D"/>
    <w:rsid w:val="00470221"/>
    <w:rsid w:val="00470E6E"/>
    <w:rsid w:val="00472FFB"/>
    <w:rsid w:val="00473773"/>
    <w:rsid w:val="00474AC6"/>
    <w:rsid w:val="00474DA9"/>
    <w:rsid w:val="004764AD"/>
    <w:rsid w:val="004774E6"/>
    <w:rsid w:val="00477BFA"/>
    <w:rsid w:val="004800B2"/>
    <w:rsid w:val="004804E4"/>
    <w:rsid w:val="00480F68"/>
    <w:rsid w:val="0048279F"/>
    <w:rsid w:val="004828FC"/>
    <w:rsid w:val="004842D3"/>
    <w:rsid w:val="00485DF6"/>
    <w:rsid w:val="00486772"/>
    <w:rsid w:val="00486BB2"/>
    <w:rsid w:val="00490C2E"/>
    <w:rsid w:val="00490CB2"/>
    <w:rsid w:val="00491218"/>
    <w:rsid w:val="00491A7F"/>
    <w:rsid w:val="00491CA9"/>
    <w:rsid w:val="00492EA5"/>
    <w:rsid w:val="00493C1F"/>
    <w:rsid w:val="00494185"/>
    <w:rsid w:val="004959C0"/>
    <w:rsid w:val="004977D0"/>
    <w:rsid w:val="004A0EF4"/>
    <w:rsid w:val="004A0F9D"/>
    <w:rsid w:val="004A1A4D"/>
    <w:rsid w:val="004A3375"/>
    <w:rsid w:val="004A3B06"/>
    <w:rsid w:val="004A4CC6"/>
    <w:rsid w:val="004A57C8"/>
    <w:rsid w:val="004A666F"/>
    <w:rsid w:val="004A66BE"/>
    <w:rsid w:val="004A67E8"/>
    <w:rsid w:val="004A6F80"/>
    <w:rsid w:val="004B00ED"/>
    <w:rsid w:val="004B1813"/>
    <w:rsid w:val="004B2420"/>
    <w:rsid w:val="004B2EF8"/>
    <w:rsid w:val="004B3C6C"/>
    <w:rsid w:val="004B49EB"/>
    <w:rsid w:val="004B5B90"/>
    <w:rsid w:val="004B5F09"/>
    <w:rsid w:val="004B6C63"/>
    <w:rsid w:val="004B6F37"/>
    <w:rsid w:val="004B78BB"/>
    <w:rsid w:val="004C01AC"/>
    <w:rsid w:val="004C09FA"/>
    <w:rsid w:val="004C0BA5"/>
    <w:rsid w:val="004C2627"/>
    <w:rsid w:val="004C4DD1"/>
    <w:rsid w:val="004C5380"/>
    <w:rsid w:val="004D1C41"/>
    <w:rsid w:val="004D25C3"/>
    <w:rsid w:val="004D270E"/>
    <w:rsid w:val="004D2851"/>
    <w:rsid w:val="004D32F8"/>
    <w:rsid w:val="004D34DE"/>
    <w:rsid w:val="004D39D3"/>
    <w:rsid w:val="004D520C"/>
    <w:rsid w:val="004D60A6"/>
    <w:rsid w:val="004D6B3D"/>
    <w:rsid w:val="004D6CFE"/>
    <w:rsid w:val="004E1533"/>
    <w:rsid w:val="004E20B3"/>
    <w:rsid w:val="004E7106"/>
    <w:rsid w:val="004E737D"/>
    <w:rsid w:val="004F212D"/>
    <w:rsid w:val="004F27EE"/>
    <w:rsid w:val="004F2CF2"/>
    <w:rsid w:val="004F445B"/>
    <w:rsid w:val="004F44AD"/>
    <w:rsid w:val="004F5A4B"/>
    <w:rsid w:val="004F5F6F"/>
    <w:rsid w:val="004F6FDF"/>
    <w:rsid w:val="004F74AF"/>
    <w:rsid w:val="005006CC"/>
    <w:rsid w:val="005008CC"/>
    <w:rsid w:val="0050184C"/>
    <w:rsid w:val="0050234F"/>
    <w:rsid w:val="005029A9"/>
    <w:rsid w:val="00502A75"/>
    <w:rsid w:val="005057C0"/>
    <w:rsid w:val="00505B8A"/>
    <w:rsid w:val="00506E4D"/>
    <w:rsid w:val="005070A7"/>
    <w:rsid w:val="005079B6"/>
    <w:rsid w:val="0051006B"/>
    <w:rsid w:val="0051050B"/>
    <w:rsid w:val="005109E2"/>
    <w:rsid w:val="00510D00"/>
    <w:rsid w:val="00510FA8"/>
    <w:rsid w:val="00511000"/>
    <w:rsid w:val="00511A04"/>
    <w:rsid w:val="00511F39"/>
    <w:rsid w:val="00512483"/>
    <w:rsid w:val="00512B74"/>
    <w:rsid w:val="0051357C"/>
    <w:rsid w:val="00513935"/>
    <w:rsid w:val="00513BB2"/>
    <w:rsid w:val="00514CBB"/>
    <w:rsid w:val="00515130"/>
    <w:rsid w:val="005157E6"/>
    <w:rsid w:val="00515D35"/>
    <w:rsid w:val="0051624B"/>
    <w:rsid w:val="00516348"/>
    <w:rsid w:val="00516728"/>
    <w:rsid w:val="005179A7"/>
    <w:rsid w:val="0051C297"/>
    <w:rsid w:val="00520491"/>
    <w:rsid w:val="00520D32"/>
    <w:rsid w:val="00521244"/>
    <w:rsid w:val="005216DB"/>
    <w:rsid w:val="00524CC3"/>
    <w:rsid w:val="005266EE"/>
    <w:rsid w:val="00526AE9"/>
    <w:rsid w:val="00527504"/>
    <w:rsid w:val="005312E1"/>
    <w:rsid w:val="005323B6"/>
    <w:rsid w:val="00533563"/>
    <w:rsid w:val="00533E46"/>
    <w:rsid w:val="00534FC6"/>
    <w:rsid w:val="005363BD"/>
    <w:rsid w:val="00536C96"/>
    <w:rsid w:val="00536DE7"/>
    <w:rsid w:val="005373F3"/>
    <w:rsid w:val="005377B4"/>
    <w:rsid w:val="0054005C"/>
    <w:rsid w:val="00541E50"/>
    <w:rsid w:val="00541EEC"/>
    <w:rsid w:val="00542638"/>
    <w:rsid w:val="005477D3"/>
    <w:rsid w:val="0055062C"/>
    <w:rsid w:val="00551334"/>
    <w:rsid w:val="0055183D"/>
    <w:rsid w:val="00551F3B"/>
    <w:rsid w:val="005569B9"/>
    <w:rsid w:val="0055775B"/>
    <w:rsid w:val="00557AB6"/>
    <w:rsid w:val="00560B80"/>
    <w:rsid w:val="00562518"/>
    <w:rsid w:val="00562EAD"/>
    <w:rsid w:val="005641F7"/>
    <w:rsid w:val="005643AF"/>
    <w:rsid w:val="0056491F"/>
    <w:rsid w:val="005663AE"/>
    <w:rsid w:val="005669DC"/>
    <w:rsid w:val="005671CD"/>
    <w:rsid w:val="00572FC5"/>
    <w:rsid w:val="005730B9"/>
    <w:rsid w:val="00575110"/>
    <w:rsid w:val="00575117"/>
    <w:rsid w:val="005757C7"/>
    <w:rsid w:val="00575976"/>
    <w:rsid w:val="005806F7"/>
    <w:rsid w:val="00580F6B"/>
    <w:rsid w:val="0058145F"/>
    <w:rsid w:val="00582AC0"/>
    <w:rsid w:val="00582B2B"/>
    <w:rsid w:val="00583EE8"/>
    <w:rsid w:val="00584213"/>
    <w:rsid w:val="0058647A"/>
    <w:rsid w:val="00591385"/>
    <w:rsid w:val="00591458"/>
    <w:rsid w:val="00591C13"/>
    <w:rsid w:val="0059747A"/>
    <w:rsid w:val="005A022C"/>
    <w:rsid w:val="005A101A"/>
    <w:rsid w:val="005A1C52"/>
    <w:rsid w:val="005A1F5F"/>
    <w:rsid w:val="005A2817"/>
    <w:rsid w:val="005A421F"/>
    <w:rsid w:val="005A4730"/>
    <w:rsid w:val="005A47C2"/>
    <w:rsid w:val="005A4F6B"/>
    <w:rsid w:val="005A5BEB"/>
    <w:rsid w:val="005A5D3D"/>
    <w:rsid w:val="005A643F"/>
    <w:rsid w:val="005A6CBC"/>
    <w:rsid w:val="005B123C"/>
    <w:rsid w:val="005B1AB1"/>
    <w:rsid w:val="005B23D0"/>
    <w:rsid w:val="005B2F3D"/>
    <w:rsid w:val="005B3132"/>
    <w:rsid w:val="005B3145"/>
    <w:rsid w:val="005B3D45"/>
    <w:rsid w:val="005B6DA8"/>
    <w:rsid w:val="005B7F16"/>
    <w:rsid w:val="005B7F2A"/>
    <w:rsid w:val="005B7F7E"/>
    <w:rsid w:val="005C0420"/>
    <w:rsid w:val="005C0840"/>
    <w:rsid w:val="005C0D6C"/>
    <w:rsid w:val="005C1D69"/>
    <w:rsid w:val="005C4042"/>
    <w:rsid w:val="005D051B"/>
    <w:rsid w:val="005D0E56"/>
    <w:rsid w:val="005D126E"/>
    <w:rsid w:val="005D2763"/>
    <w:rsid w:val="005D29C3"/>
    <w:rsid w:val="005D4BD9"/>
    <w:rsid w:val="005D51B7"/>
    <w:rsid w:val="005D5D70"/>
    <w:rsid w:val="005D6248"/>
    <w:rsid w:val="005D6822"/>
    <w:rsid w:val="005E041D"/>
    <w:rsid w:val="005E1505"/>
    <w:rsid w:val="005E17AD"/>
    <w:rsid w:val="005E1968"/>
    <w:rsid w:val="005E386F"/>
    <w:rsid w:val="005E5077"/>
    <w:rsid w:val="005F0DC6"/>
    <w:rsid w:val="005F1041"/>
    <w:rsid w:val="005F1649"/>
    <w:rsid w:val="005F2F21"/>
    <w:rsid w:val="005F34DF"/>
    <w:rsid w:val="005F50F9"/>
    <w:rsid w:val="005F5CE9"/>
    <w:rsid w:val="005F68BD"/>
    <w:rsid w:val="005F6E54"/>
    <w:rsid w:val="005F700E"/>
    <w:rsid w:val="00600810"/>
    <w:rsid w:val="00600831"/>
    <w:rsid w:val="00600F85"/>
    <w:rsid w:val="00605558"/>
    <w:rsid w:val="0060560C"/>
    <w:rsid w:val="00605D8F"/>
    <w:rsid w:val="00607415"/>
    <w:rsid w:val="00610555"/>
    <w:rsid w:val="006118AD"/>
    <w:rsid w:val="00612376"/>
    <w:rsid w:val="00612AD7"/>
    <w:rsid w:val="006157DA"/>
    <w:rsid w:val="00616EB4"/>
    <w:rsid w:val="00616ECA"/>
    <w:rsid w:val="0062106C"/>
    <w:rsid w:val="0062229D"/>
    <w:rsid w:val="006225B0"/>
    <w:rsid w:val="00623BA7"/>
    <w:rsid w:val="00623C5E"/>
    <w:rsid w:val="006241F2"/>
    <w:rsid w:val="0062431F"/>
    <w:rsid w:val="00624382"/>
    <w:rsid w:val="006279F7"/>
    <w:rsid w:val="00630780"/>
    <w:rsid w:val="006315D5"/>
    <w:rsid w:val="006317F3"/>
    <w:rsid w:val="00635EE8"/>
    <w:rsid w:val="006369AA"/>
    <w:rsid w:val="00636B21"/>
    <w:rsid w:val="00637011"/>
    <w:rsid w:val="006401BC"/>
    <w:rsid w:val="00640486"/>
    <w:rsid w:val="00640C08"/>
    <w:rsid w:val="0064119D"/>
    <w:rsid w:val="00641FAF"/>
    <w:rsid w:val="006431FB"/>
    <w:rsid w:val="00643224"/>
    <w:rsid w:val="00643F12"/>
    <w:rsid w:val="006444C9"/>
    <w:rsid w:val="00645C1B"/>
    <w:rsid w:val="00646BFA"/>
    <w:rsid w:val="00647E67"/>
    <w:rsid w:val="00651648"/>
    <w:rsid w:val="006517B1"/>
    <w:rsid w:val="00652ADC"/>
    <w:rsid w:val="00660BCA"/>
    <w:rsid w:val="00661920"/>
    <w:rsid w:val="00661D5B"/>
    <w:rsid w:val="006623A4"/>
    <w:rsid w:val="006623F1"/>
    <w:rsid w:val="0066268A"/>
    <w:rsid w:val="006632A9"/>
    <w:rsid w:val="00663AD9"/>
    <w:rsid w:val="00664AAD"/>
    <w:rsid w:val="00665F59"/>
    <w:rsid w:val="00670AC7"/>
    <w:rsid w:val="00673338"/>
    <w:rsid w:val="0067349C"/>
    <w:rsid w:val="0067708F"/>
    <w:rsid w:val="006770CF"/>
    <w:rsid w:val="00680574"/>
    <w:rsid w:val="0068330D"/>
    <w:rsid w:val="00683CB0"/>
    <w:rsid w:val="0068457C"/>
    <w:rsid w:val="00684E3D"/>
    <w:rsid w:val="00685734"/>
    <w:rsid w:val="00686DF3"/>
    <w:rsid w:val="0069080F"/>
    <w:rsid w:val="0069153D"/>
    <w:rsid w:val="00691AD7"/>
    <w:rsid w:val="006924A1"/>
    <w:rsid w:val="00693626"/>
    <w:rsid w:val="00693AB1"/>
    <w:rsid w:val="00694D15"/>
    <w:rsid w:val="00695170"/>
    <w:rsid w:val="00695624"/>
    <w:rsid w:val="00695AB1"/>
    <w:rsid w:val="0069747C"/>
    <w:rsid w:val="00697C3D"/>
    <w:rsid w:val="006A1362"/>
    <w:rsid w:val="006A21B0"/>
    <w:rsid w:val="006A2FF3"/>
    <w:rsid w:val="006A34F3"/>
    <w:rsid w:val="006A657D"/>
    <w:rsid w:val="006A7312"/>
    <w:rsid w:val="006A763C"/>
    <w:rsid w:val="006A7720"/>
    <w:rsid w:val="006A784C"/>
    <w:rsid w:val="006A7D6F"/>
    <w:rsid w:val="006B04F8"/>
    <w:rsid w:val="006B11CD"/>
    <w:rsid w:val="006B2799"/>
    <w:rsid w:val="006B7F0D"/>
    <w:rsid w:val="006C3663"/>
    <w:rsid w:val="006C3DC7"/>
    <w:rsid w:val="006C4DF7"/>
    <w:rsid w:val="006C52F7"/>
    <w:rsid w:val="006C574B"/>
    <w:rsid w:val="006C7E5C"/>
    <w:rsid w:val="006D02A5"/>
    <w:rsid w:val="006D1335"/>
    <w:rsid w:val="006D173B"/>
    <w:rsid w:val="006D3AF9"/>
    <w:rsid w:val="006D441A"/>
    <w:rsid w:val="006D551D"/>
    <w:rsid w:val="006D5949"/>
    <w:rsid w:val="006D5B0A"/>
    <w:rsid w:val="006D72D4"/>
    <w:rsid w:val="006D7453"/>
    <w:rsid w:val="006E0C3D"/>
    <w:rsid w:val="006E1365"/>
    <w:rsid w:val="006E1627"/>
    <w:rsid w:val="006E2FAF"/>
    <w:rsid w:val="006E3E33"/>
    <w:rsid w:val="006E4700"/>
    <w:rsid w:val="006E5081"/>
    <w:rsid w:val="006E7C78"/>
    <w:rsid w:val="006F0D35"/>
    <w:rsid w:val="006F2092"/>
    <w:rsid w:val="006F28E8"/>
    <w:rsid w:val="006F2C3F"/>
    <w:rsid w:val="006F3C17"/>
    <w:rsid w:val="006F3E92"/>
    <w:rsid w:val="006F4A7D"/>
    <w:rsid w:val="006F5EBA"/>
    <w:rsid w:val="00700473"/>
    <w:rsid w:val="00701155"/>
    <w:rsid w:val="00702023"/>
    <w:rsid w:val="007033D3"/>
    <w:rsid w:val="00704983"/>
    <w:rsid w:val="00705205"/>
    <w:rsid w:val="00706422"/>
    <w:rsid w:val="00707CDA"/>
    <w:rsid w:val="00710C47"/>
    <w:rsid w:val="00711279"/>
    <w:rsid w:val="00714620"/>
    <w:rsid w:val="007148E1"/>
    <w:rsid w:val="00715086"/>
    <w:rsid w:val="00716BED"/>
    <w:rsid w:val="00717019"/>
    <w:rsid w:val="00717691"/>
    <w:rsid w:val="0072188B"/>
    <w:rsid w:val="00722BD6"/>
    <w:rsid w:val="00724000"/>
    <w:rsid w:val="00727038"/>
    <w:rsid w:val="00730CBC"/>
    <w:rsid w:val="0073161E"/>
    <w:rsid w:val="007320E0"/>
    <w:rsid w:val="00732989"/>
    <w:rsid w:val="00732BB3"/>
    <w:rsid w:val="00732E57"/>
    <w:rsid w:val="00733622"/>
    <w:rsid w:val="0073422D"/>
    <w:rsid w:val="00734749"/>
    <w:rsid w:val="00735963"/>
    <w:rsid w:val="00740BF9"/>
    <w:rsid w:val="00740D67"/>
    <w:rsid w:val="007413CD"/>
    <w:rsid w:val="007415B6"/>
    <w:rsid w:val="00741917"/>
    <w:rsid w:val="007419A0"/>
    <w:rsid w:val="00741B54"/>
    <w:rsid w:val="00741CDA"/>
    <w:rsid w:val="007437B9"/>
    <w:rsid w:val="007441B4"/>
    <w:rsid w:val="00744B91"/>
    <w:rsid w:val="00745E70"/>
    <w:rsid w:val="007466FD"/>
    <w:rsid w:val="00750EB6"/>
    <w:rsid w:val="00752393"/>
    <w:rsid w:val="00752A47"/>
    <w:rsid w:val="00752FF8"/>
    <w:rsid w:val="007539B3"/>
    <w:rsid w:val="007543F4"/>
    <w:rsid w:val="00755710"/>
    <w:rsid w:val="0075663D"/>
    <w:rsid w:val="00760989"/>
    <w:rsid w:val="00760CDC"/>
    <w:rsid w:val="007611B2"/>
    <w:rsid w:val="00761BAA"/>
    <w:rsid w:val="00762335"/>
    <w:rsid w:val="00762950"/>
    <w:rsid w:val="00763931"/>
    <w:rsid w:val="007643F6"/>
    <w:rsid w:val="00764DDA"/>
    <w:rsid w:val="00767112"/>
    <w:rsid w:val="0077001B"/>
    <w:rsid w:val="00770164"/>
    <w:rsid w:val="007705B8"/>
    <w:rsid w:val="00770825"/>
    <w:rsid w:val="00771397"/>
    <w:rsid w:val="00772AD6"/>
    <w:rsid w:val="00774693"/>
    <w:rsid w:val="00774A87"/>
    <w:rsid w:val="00780DAC"/>
    <w:rsid w:val="00781720"/>
    <w:rsid w:val="00781CFE"/>
    <w:rsid w:val="00781DD6"/>
    <w:rsid w:val="00781E5C"/>
    <w:rsid w:val="00782086"/>
    <w:rsid w:val="00782E3B"/>
    <w:rsid w:val="00785BFD"/>
    <w:rsid w:val="00787A88"/>
    <w:rsid w:val="0078C3D2"/>
    <w:rsid w:val="00790AB8"/>
    <w:rsid w:val="00793B2B"/>
    <w:rsid w:val="007956B9"/>
    <w:rsid w:val="00795C60"/>
    <w:rsid w:val="00796279"/>
    <w:rsid w:val="0079748C"/>
    <w:rsid w:val="0079BDD9"/>
    <w:rsid w:val="007A0A97"/>
    <w:rsid w:val="007A1872"/>
    <w:rsid w:val="007A1AAF"/>
    <w:rsid w:val="007A1F5C"/>
    <w:rsid w:val="007A30A5"/>
    <w:rsid w:val="007A3AAF"/>
    <w:rsid w:val="007A5976"/>
    <w:rsid w:val="007A5D8A"/>
    <w:rsid w:val="007A6FC7"/>
    <w:rsid w:val="007A735F"/>
    <w:rsid w:val="007B251F"/>
    <w:rsid w:val="007B25B8"/>
    <w:rsid w:val="007B262C"/>
    <w:rsid w:val="007B2C12"/>
    <w:rsid w:val="007B408C"/>
    <w:rsid w:val="007B46D9"/>
    <w:rsid w:val="007B55A8"/>
    <w:rsid w:val="007B60AB"/>
    <w:rsid w:val="007B7F03"/>
    <w:rsid w:val="007B7F55"/>
    <w:rsid w:val="007C0F42"/>
    <w:rsid w:val="007C1300"/>
    <w:rsid w:val="007C15B4"/>
    <w:rsid w:val="007C264F"/>
    <w:rsid w:val="007C4F02"/>
    <w:rsid w:val="007C6568"/>
    <w:rsid w:val="007C6721"/>
    <w:rsid w:val="007C687F"/>
    <w:rsid w:val="007D0435"/>
    <w:rsid w:val="007D21E3"/>
    <w:rsid w:val="007D2C8A"/>
    <w:rsid w:val="007D2FE6"/>
    <w:rsid w:val="007D310E"/>
    <w:rsid w:val="007D37C7"/>
    <w:rsid w:val="007D443E"/>
    <w:rsid w:val="007D4B50"/>
    <w:rsid w:val="007D4EE0"/>
    <w:rsid w:val="007D53C7"/>
    <w:rsid w:val="007D676D"/>
    <w:rsid w:val="007D71DD"/>
    <w:rsid w:val="007D7FC0"/>
    <w:rsid w:val="007E1887"/>
    <w:rsid w:val="007E1F5B"/>
    <w:rsid w:val="007E2749"/>
    <w:rsid w:val="007E3705"/>
    <w:rsid w:val="007E52EA"/>
    <w:rsid w:val="007E6757"/>
    <w:rsid w:val="007E7750"/>
    <w:rsid w:val="007F0712"/>
    <w:rsid w:val="007F535F"/>
    <w:rsid w:val="007F592A"/>
    <w:rsid w:val="007F6D74"/>
    <w:rsid w:val="00802ED0"/>
    <w:rsid w:val="00804D8B"/>
    <w:rsid w:val="008055A5"/>
    <w:rsid w:val="00805DC9"/>
    <w:rsid w:val="00806C76"/>
    <w:rsid w:val="008115F8"/>
    <w:rsid w:val="00811B76"/>
    <w:rsid w:val="00812211"/>
    <w:rsid w:val="00812A90"/>
    <w:rsid w:val="00812B6E"/>
    <w:rsid w:val="00812C6A"/>
    <w:rsid w:val="008138FC"/>
    <w:rsid w:val="00814DAE"/>
    <w:rsid w:val="00815606"/>
    <w:rsid w:val="008160D8"/>
    <w:rsid w:val="00816E32"/>
    <w:rsid w:val="008220BE"/>
    <w:rsid w:val="00822480"/>
    <w:rsid w:val="00822B52"/>
    <w:rsid w:val="0082302C"/>
    <w:rsid w:val="0082480F"/>
    <w:rsid w:val="00824D5C"/>
    <w:rsid w:val="00824E05"/>
    <w:rsid w:val="00825A02"/>
    <w:rsid w:val="008266F3"/>
    <w:rsid w:val="00830DDB"/>
    <w:rsid w:val="00832397"/>
    <w:rsid w:val="00833432"/>
    <w:rsid w:val="008337F1"/>
    <w:rsid w:val="008350A5"/>
    <w:rsid w:val="008363FC"/>
    <w:rsid w:val="008415E3"/>
    <w:rsid w:val="0084429D"/>
    <w:rsid w:val="008443FB"/>
    <w:rsid w:val="00844480"/>
    <w:rsid w:val="008447AA"/>
    <w:rsid w:val="00845821"/>
    <w:rsid w:val="008460B6"/>
    <w:rsid w:val="00850DF3"/>
    <w:rsid w:val="0085199C"/>
    <w:rsid w:val="00851E9E"/>
    <w:rsid w:val="00854E65"/>
    <w:rsid w:val="00856040"/>
    <w:rsid w:val="00856A48"/>
    <w:rsid w:val="00857065"/>
    <w:rsid w:val="008602D3"/>
    <w:rsid w:val="0086371A"/>
    <w:rsid w:val="00863F6B"/>
    <w:rsid w:val="00864F53"/>
    <w:rsid w:val="008651B7"/>
    <w:rsid w:val="00870754"/>
    <w:rsid w:val="00870AC4"/>
    <w:rsid w:val="0087132E"/>
    <w:rsid w:val="00874657"/>
    <w:rsid w:val="00874931"/>
    <w:rsid w:val="00875296"/>
    <w:rsid w:val="008776EF"/>
    <w:rsid w:val="00882B8D"/>
    <w:rsid w:val="00882BB5"/>
    <w:rsid w:val="00882F68"/>
    <w:rsid w:val="008831F9"/>
    <w:rsid w:val="00883563"/>
    <w:rsid w:val="008838E6"/>
    <w:rsid w:val="00883BAD"/>
    <w:rsid w:val="00883D2F"/>
    <w:rsid w:val="00884168"/>
    <w:rsid w:val="008843E9"/>
    <w:rsid w:val="0088510C"/>
    <w:rsid w:val="00890278"/>
    <w:rsid w:val="008912A7"/>
    <w:rsid w:val="00891827"/>
    <w:rsid w:val="00891A15"/>
    <w:rsid w:val="00893244"/>
    <w:rsid w:val="008935AE"/>
    <w:rsid w:val="00895097"/>
    <w:rsid w:val="00895663"/>
    <w:rsid w:val="00895EDF"/>
    <w:rsid w:val="0089673C"/>
    <w:rsid w:val="008A11D4"/>
    <w:rsid w:val="008A1495"/>
    <w:rsid w:val="008A1C2F"/>
    <w:rsid w:val="008A2DBD"/>
    <w:rsid w:val="008A3A82"/>
    <w:rsid w:val="008A4535"/>
    <w:rsid w:val="008A56B8"/>
    <w:rsid w:val="008A72E0"/>
    <w:rsid w:val="008B0D13"/>
    <w:rsid w:val="008B1E59"/>
    <w:rsid w:val="008B21C1"/>
    <w:rsid w:val="008B21C3"/>
    <w:rsid w:val="008B3685"/>
    <w:rsid w:val="008B38BE"/>
    <w:rsid w:val="008B41FE"/>
    <w:rsid w:val="008B4290"/>
    <w:rsid w:val="008B4FD3"/>
    <w:rsid w:val="008B508A"/>
    <w:rsid w:val="008B5333"/>
    <w:rsid w:val="008B6AE4"/>
    <w:rsid w:val="008B71A4"/>
    <w:rsid w:val="008B7834"/>
    <w:rsid w:val="008C0613"/>
    <w:rsid w:val="008C1D4E"/>
    <w:rsid w:val="008C2787"/>
    <w:rsid w:val="008C32B9"/>
    <w:rsid w:val="008C51B3"/>
    <w:rsid w:val="008C708A"/>
    <w:rsid w:val="008D18B3"/>
    <w:rsid w:val="008D28AF"/>
    <w:rsid w:val="008D2EEF"/>
    <w:rsid w:val="008D366B"/>
    <w:rsid w:val="008D4071"/>
    <w:rsid w:val="008D5CB5"/>
    <w:rsid w:val="008D67BE"/>
    <w:rsid w:val="008D77CD"/>
    <w:rsid w:val="008D7A53"/>
    <w:rsid w:val="008E0E3C"/>
    <w:rsid w:val="008E32EF"/>
    <w:rsid w:val="008E3444"/>
    <w:rsid w:val="008E5650"/>
    <w:rsid w:val="008E5735"/>
    <w:rsid w:val="008E68A0"/>
    <w:rsid w:val="008E6E1E"/>
    <w:rsid w:val="008E710F"/>
    <w:rsid w:val="008E7DE7"/>
    <w:rsid w:val="008F07FC"/>
    <w:rsid w:val="008F0E14"/>
    <w:rsid w:val="008F2C74"/>
    <w:rsid w:val="008F4442"/>
    <w:rsid w:val="008F56E2"/>
    <w:rsid w:val="00901EC0"/>
    <w:rsid w:val="009020CF"/>
    <w:rsid w:val="00902FD3"/>
    <w:rsid w:val="00903C52"/>
    <w:rsid w:val="00903F50"/>
    <w:rsid w:val="00904342"/>
    <w:rsid w:val="00905129"/>
    <w:rsid w:val="0090529F"/>
    <w:rsid w:val="0090562F"/>
    <w:rsid w:val="00906218"/>
    <w:rsid w:val="00906BB9"/>
    <w:rsid w:val="00906BEB"/>
    <w:rsid w:val="00906EC5"/>
    <w:rsid w:val="00910373"/>
    <w:rsid w:val="00910FB5"/>
    <w:rsid w:val="00911021"/>
    <w:rsid w:val="009119AE"/>
    <w:rsid w:val="00912207"/>
    <w:rsid w:val="00913634"/>
    <w:rsid w:val="00913B7C"/>
    <w:rsid w:val="0091409E"/>
    <w:rsid w:val="0091493F"/>
    <w:rsid w:val="00924812"/>
    <w:rsid w:val="00924CBF"/>
    <w:rsid w:val="009254A7"/>
    <w:rsid w:val="0092624E"/>
    <w:rsid w:val="0093116D"/>
    <w:rsid w:val="00931AAB"/>
    <w:rsid w:val="0093473A"/>
    <w:rsid w:val="00935631"/>
    <w:rsid w:val="009364B9"/>
    <w:rsid w:val="00936A20"/>
    <w:rsid w:val="00937F92"/>
    <w:rsid w:val="00940E8E"/>
    <w:rsid w:val="0094167E"/>
    <w:rsid w:val="00945865"/>
    <w:rsid w:val="00946522"/>
    <w:rsid w:val="00947EAA"/>
    <w:rsid w:val="00950B7D"/>
    <w:rsid w:val="00950D6A"/>
    <w:rsid w:val="00950E99"/>
    <w:rsid w:val="00953E29"/>
    <w:rsid w:val="00954E2B"/>
    <w:rsid w:val="00955230"/>
    <w:rsid w:val="0095572D"/>
    <w:rsid w:val="00962182"/>
    <w:rsid w:val="00962EED"/>
    <w:rsid w:val="00962F67"/>
    <w:rsid w:val="009634E0"/>
    <w:rsid w:val="00963601"/>
    <w:rsid w:val="00966183"/>
    <w:rsid w:val="009679F3"/>
    <w:rsid w:val="00967F1F"/>
    <w:rsid w:val="0097003E"/>
    <w:rsid w:val="009703BF"/>
    <w:rsid w:val="0097126A"/>
    <w:rsid w:val="00972145"/>
    <w:rsid w:val="00972231"/>
    <w:rsid w:val="00973D8E"/>
    <w:rsid w:val="00974F0D"/>
    <w:rsid w:val="009753E4"/>
    <w:rsid w:val="0097642D"/>
    <w:rsid w:val="00977842"/>
    <w:rsid w:val="00977EAF"/>
    <w:rsid w:val="00977EF5"/>
    <w:rsid w:val="009808E1"/>
    <w:rsid w:val="00982512"/>
    <w:rsid w:val="0098393E"/>
    <w:rsid w:val="00984257"/>
    <w:rsid w:val="00984657"/>
    <w:rsid w:val="00990EA8"/>
    <w:rsid w:val="0099146E"/>
    <w:rsid w:val="009917DC"/>
    <w:rsid w:val="009920DB"/>
    <w:rsid w:val="00992257"/>
    <w:rsid w:val="009928C0"/>
    <w:rsid w:val="00992E41"/>
    <w:rsid w:val="009934F6"/>
    <w:rsid w:val="00993756"/>
    <w:rsid w:val="00994329"/>
    <w:rsid w:val="00995381"/>
    <w:rsid w:val="00995D9A"/>
    <w:rsid w:val="009961D8"/>
    <w:rsid w:val="00996735"/>
    <w:rsid w:val="00996951"/>
    <w:rsid w:val="00996F33"/>
    <w:rsid w:val="00997A9D"/>
    <w:rsid w:val="009A1677"/>
    <w:rsid w:val="009A1C1D"/>
    <w:rsid w:val="009A1DAC"/>
    <w:rsid w:val="009A1F7A"/>
    <w:rsid w:val="009A34FD"/>
    <w:rsid w:val="009A3817"/>
    <w:rsid w:val="009A5774"/>
    <w:rsid w:val="009A5A62"/>
    <w:rsid w:val="009A7E19"/>
    <w:rsid w:val="009B104D"/>
    <w:rsid w:val="009B1719"/>
    <w:rsid w:val="009B26A0"/>
    <w:rsid w:val="009B29BA"/>
    <w:rsid w:val="009B3A0B"/>
    <w:rsid w:val="009B515A"/>
    <w:rsid w:val="009B6034"/>
    <w:rsid w:val="009B785C"/>
    <w:rsid w:val="009C0577"/>
    <w:rsid w:val="009C0B91"/>
    <w:rsid w:val="009C113E"/>
    <w:rsid w:val="009C1D92"/>
    <w:rsid w:val="009C241D"/>
    <w:rsid w:val="009C38CC"/>
    <w:rsid w:val="009C4C60"/>
    <w:rsid w:val="009C54C9"/>
    <w:rsid w:val="009C5EF1"/>
    <w:rsid w:val="009C6046"/>
    <w:rsid w:val="009C64AF"/>
    <w:rsid w:val="009C67B6"/>
    <w:rsid w:val="009C6C32"/>
    <w:rsid w:val="009C7362"/>
    <w:rsid w:val="009C78BC"/>
    <w:rsid w:val="009D0104"/>
    <w:rsid w:val="009D0254"/>
    <w:rsid w:val="009D07D6"/>
    <w:rsid w:val="009D0ABF"/>
    <w:rsid w:val="009D1050"/>
    <w:rsid w:val="009D18EA"/>
    <w:rsid w:val="009D19ED"/>
    <w:rsid w:val="009D2250"/>
    <w:rsid w:val="009D2764"/>
    <w:rsid w:val="009D3F2C"/>
    <w:rsid w:val="009D53BA"/>
    <w:rsid w:val="009D5892"/>
    <w:rsid w:val="009D630C"/>
    <w:rsid w:val="009D70CD"/>
    <w:rsid w:val="009D7B85"/>
    <w:rsid w:val="009E0446"/>
    <w:rsid w:val="009E2383"/>
    <w:rsid w:val="009E2CB1"/>
    <w:rsid w:val="009E2FC2"/>
    <w:rsid w:val="009E3A73"/>
    <w:rsid w:val="009E4963"/>
    <w:rsid w:val="009E63B4"/>
    <w:rsid w:val="009E63E4"/>
    <w:rsid w:val="009E65CE"/>
    <w:rsid w:val="009E7BB5"/>
    <w:rsid w:val="009F1846"/>
    <w:rsid w:val="009F2BD4"/>
    <w:rsid w:val="009F2CA0"/>
    <w:rsid w:val="009F54D3"/>
    <w:rsid w:val="009F735C"/>
    <w:rsid w:val="00A039A7"/>
    <w:rsid w:val="00A0445F"/>
    <w:rsid w:val="00A044F8"/>
    <w:rsid w:val="00A05EBC"/>
    <w:rsid w:val="00A1042D"/>
    <w:rsid w:val="00A12047"/>
    <w:rsid w:val="00A129C9"/>
    <w:rsid w:val="00A141DB"/>
    <w:rsid w:val="00A144F2"/>
    <w:rsid w:val="00A1489D"/>
    <w:rsid w:val="00A14AE7"/>
    <w:rsid w:val="00A1528C"/>
    <w:rsid w:val="00A15313"/>
    <w:rsid w:val="00A159E6"/>
    <w:rsid w:val="00A15CB7"/>
    <w:rsid w:val="00A162ED"/>
    <w:rsid w:val="00A16D3B"/>
    <w:rsid w:val="00A173FB"/>
    <w:rsid w:val="00A177EE"/>
    <w:rsid w:val="00A2065E"/>
    <w:rsid w:val="00A208E7"/>
    <w:rsid w:val="00A20905"/>
    <w:rsid w:val="00A2113F"/>
    <w:rsid w:val="00A21597"/>
    <w:rsid w:val="00A2223E"/>
    <w:rsid w:val="00A25C09"/>
    <w:rsid w:val="00A26523"/>
    <w:rsid w:val="00A3073A"/>
    <w:rsid w:val="00A31625"/>
    <w:rsid w:val="00A3568B"/>
    <w:rsid w:val="00A3754B"/>
    <w:rsid w:val="00A40730"/>
    <w:rsid w:val="00A41553"/>
    <w:rsid w:val="00A4227D"/>
    <w:rsid w:val="00A43093"/>
    <w:rsid w:val="00A44073"/>
    <w:rsid w:val="00A446F3"/>
    <w:rsid w:val="00A44C83"/>
    <w:rsid w:val="00A452BC"/>
    <w:rsid w:val="00A453C5"/>
    <w:rsid w:val="00A45BA4"/>
    <w:rsid w:val="00A47026"/>
    <w:rsid w:val="00A47E21"/>
    <w:rsid w:val="00A50AC0"/>
    <w:rsid w:val="00A51A57"/>
    <w:rsid w:val="00A51F24"/>
    <w:rsid w:val="00A56177"/>
    <w:rsid w:val="00A56178"/>
    <w:rsid w:val="00A608F2"/>
    <w:rsid w:val="00A60A2E"/>
    <w:rsid w:val="00A615D9"/>
    <w:rsid w:val="00A6436F"/>
    <w:rsid w:val="00A64D42"/>
    <w:rsid w:val="00A665F2"/>
    <w:rsid w:val="00A66706"/>
    <w:rsid w:val="00A67524"/>
    <w:rsid w:val="00A67A15"/>
    <w:rsid w:val="00A71B6F"/>
    <w:rsid w:val="00A71D00"/>
    <w:rsid w:val="00A7318D"/>
    <w:rsid w:val="00A73F1D"/>
    <w:rsid w:val="00A73F98"/>
    <w:rsid w:val="00A7561E"/>
    <w:rsid w:val="00A75E2F"/>
    <w:rsid w:val="00A7617D"/>
    <w:rsid w:val="00A766D6"/>
    <w:rsid w:val="00A7711B"/>
    <w:rsid w:val="00A80FBA"/>
    <w:rsid w:val="00A811D1"/>
    <w:rsid w:val="00A831D4"/>
    <w:rsid w:val="00A835B2"/>
    <w:rsid w:val="00A83626"/>
    <w:rsid w:val="00A86285"/>
    <w:rsid w:val="00A8719B"/>
    <w:rsid w:val="00A874C8"/>
    <w:rsid w:val="00A879D1"/>
    <w:rsid w:val="00A879F2"/>
    <w:rsid w:val="00A87FE3"/>
    <w:rsid w:val="00A909DD"/>
    <w:rsid w:val="00A90A97"/>
    <w:rsid w:val="00A90EDC"/>
    <w:rsid w:val="00A91027"/>
    <w:rsid w:val="00A9129E"/>
    <w:rsid w:val="00A9152E"/>
    <w:rsid w:val="00A93877"/>
    <w:rsid w:val="00A9455F"/>
    <w:rsid w:val="00A96246"/>
    <w:rsid w:val="00A966FD"/>
    <w:rsid w:val="00A97EA7"/>
    <w:rsid w:val="00AA1D66"/>
    <w:rsid w:val="00AA3088"/>
    <w:rsid w:val="00AA3E7D"/>
    <w:rsid w:val="00AA4FAE"/>
    <w:rsid w:val="00AA5075"/>
    <w:rsid w:val="00AA51C2"/>
    <w:rsid w:val="00AA6179"/>
    <w:rsid w:val="00AA6A7F"/>
    <w:rsid w:val="00AA7731"/>
    <w:rsid w:val="00AA7A51"/>
    <w:rsid w:val="00AB14D8"/>
    <w:rsid w:val="00AB177F"/>
    <w:rsid w:val="00AB1A1B"/>
    <w:rsid w:val="00AB1AAD"/>
    <w:rsid w:val="00AB1F4D"/>
    <w:rsid w:val="00AB4CAC"/>
    <w:rsid w:val="00AB4CCE"/>
    <w:rsid w:val="00AB5114"/>
    <w:rsid w:val="00AB5A40"/>
    <w:rsid w:val="00AB5E7E"/>
    <w:rsid w:val="00AB675A"/>
    <w:rsid w:val="00AB676B"/>
    <w:rsid w:val="00AB6820"/>
    <w:rsid w:val="00AB741D"/>
    <w:rsid w:val="00AB7F9C"/>
    <w:rsid w:val="00AC0521"/>
    <w:rsid w:val="00AC080D"/>
    <w:rsid w:val="00AC09EC"/>
    <w:rsid w:val="00AC0E2C"/>
    <w:rsid w:val="00AC2FAE"/>
    <w:rsid w:val="00AC3585"/>
    <w:rsid w:val="00AC390F"/>
    <w:rsid w:val="00AC39B0"/>
    <w:rsid w:val="00AC3E15"/>
    <w:rsid w:val="00AC50C3"/>
    <w:rsid w:val="00AC522A"/>
    <w:rsid w:val="00AC58FD"/>
    <w:rsid w:val="00AC61BD"/>
    <w:rsid w:val="00AC63ED"/>
    <w:rsid w:val="00AC7EA4"/>
    <w:rsid w:val="00AD20AA"/>
    <w:rsid w:val="00AD2D23"/>
    <w:rsid w:val="00AD36FE"/>
    <w:rsid w:val="00AD48A5"/>
    <w:rsid w:val="00AD4DE2"/>
    <w:rsid w:val="00AD5600"/>
    <w:rsid w:val="00AD5BE5"/>
    <w:rsid w:val="00AD6079"/>
    <w:rsid w:val="00AD6EEA"/>
    <w:rsid w:val="00AD7952"/>
    <w:rsid w:val="00AD7F17"/>
    <w:rsid w:val="00AE023F"/>
    <w:rsid w:val="00AE0A6B"/>
    <w:rsid w:val="00AE13BD"/>
    <w:rsid w:val="00AE19C1"/>
    <w:rsid w:val="00AE1C55"/>
    <w:rsid w:val="00AE2918"/>
    <w:rsid w:val="00AE39B5"/>
    <w:rsid w:val="00AE3D96"/>
    <w:rsid w:val="00AE41C2"/>
    <w:rsid w:val="00AE439A"/>
    <w:rsid w:val="00AE58B0"/>
    <w:rsid w:val="00AE62E3"/>
    <w:rsid w:val="00AE70F9"/>
    <w:rsid w:val="00AE762B"/>
    <w:rsid w:val="00AF0157"/>
    <w:rsid w:val="00AF07E7"/>
    <w:rsid w:val="00AF2AEA"/>
    <w:rsid w:val="00AF2C1F"/>
    <w:rsid w:val="00AF30F9"/>
    <w:rsid w:val="00AF362A"/>
    <w:rsid w:val="00AF394F"/>
    <w:rsid w:val="00AF3BA8"/>
    <w:rsid w:val="00AF795D"/>
    <w:rsid w:val="00AF7975"/>
    <w:rsid w:val="00AF7D31"/>
    <w:rsid w:val="00B004C2"/>
    <w:rsid w:val="00B02E57"/>
    <w:rsid w:val="00B0376D"/>
    <w:rsid w:val="00B03E0B"/>
    <w:rsid w:val="00B04874"/>
    <w:rsid w:val="00B0496B"/>
    <w:rsid w:val="00B07A96"/>
    <w:rsid w:val="00B10060"/>
    <w:rsid w:val="00B104F8"/>
    <w:rsid w:val="00B10EBB"/>
    <w:rsid w:val="00B11E8A"/>
    <w:rsid w:val="00B12DA7"/>
    <w:rsid w:val="00B12F27"/>
    <w:rsid w:val="00B14D97"/>
    <w:rsid w:val="00B157E3"/>
    <w:rsid w:val="00B16ADF"/>
    <w:rsid w:val="00B16D10"/>
    <w:rsid w:val="00B16FD9"/>
    <w:rsid w:val="00B17B35"/>
    <w:rsid w:val="00B17E45"/>
    <w:rsid w:val="00B213AB"/>
    <w:rsid w:val="00B21444"/>
    <w:rsid w:val="00B22787"/>
    <w:rsid w:val="00B22D29"/>
    <w:rsid w:val="00B2547B"/>
    <w:rsid w:val="00B25BA9"/>
    <w:rsid w:val="00B260A6"/>
    <w:rsid w:val="00B27033"/>
    <w:rsid w:val="00B279B4"/>
    <w:rsid w:val="00B27A61"/>
    <w:rsid w:val="00B3010E"/>
    <w:rsid w:val="00B31296"/>
    <w:rsid w:val="00B31741"/>
    <w:rsid w:val="00B33550"/>
    <w:rsid w:val="00B34407"/>
    <w:rsid w:val="00B34F6F"/>
    <w:rsid w:val="00B354D1"/>
    <w:rsid w:val="00B35CBC"/>
    <w:rsid w:val="00B36C2D"/>
    <w:rsid w:val="00B37D64"/>
    <w:rsid w:val="00B41062"/>
    <w:rsid w:val="00B4232D"/>
    <w:rsid w:val="00B4246E"/>
    <w:rsid w:val="00B42C1A"/>
    <w:rsid w:val="00B42D5C"/>
    <w:rsid w:val="00B43DB4"/>
    <w:rsid w:val="00B44364"/>
    <w:rsid w:val="00B450E0"/>
    <w:rsid w:val="00B452E1"/>
    <w:rsid w:val="00B457F9"/>
    <w:rsid w:val="00B47E6A"/>
    <w:rsid w:val="00B54066"/>
    <w:rsid w:val="00B54082"/>
    <w:rsid w:val="00B545EE"/>
    <w:rsid w:val="00B54ADD"/>
    <w:rsid w:val="00B55E60"/>
    <w:rsid w:val="00B5616F"/>
    <w:rsid w:val="00B577EB"/>
    <w:rsid w:val="00B62338"/>
    <w:rsid w:val="00B62867"/>
    <w:rsid w:val="00B62F4A"/>
    <w:rsid w:val="00B636E4"/>
    <w:rsid w:val="00B6439C"/>
    <w:rsid w:val="00B64E8B"/>
    <w:rsid w:val="00B6627C"/>
    <w:rsid w:val="00B662A9"/>
    <w:rsid w:val="00B66B38"/>
    <w:rsid w:val="00B673F8"/>
    <w:rsid w:val="00B6797F"/>
    <w:rsid w:val="00B67ADD"/>
    <w:rsid w:val="00B7129D"/>
    <w:rsid w:val="00B7418C"/>
    <w:rsid w:val="00B7600A"/>
    <w:rsid w:val="00B80627"/>
    <w:rsid w:val="00B828B2"/>
    <w:rsid w:val="00B83623"/>
    <w:rsid w:val="00B83B91"/>
    <w:rsid w:val="00B85BF0"/>
    <w:rsid w:val="00B86817"/>
    <w:rsid w:val="00B86CE2"/>
    <w:rsid w:val="00B86DFC"/>
    <w:rsid w:val="00B9029A"/>
    <w:rsid w:val="00B92641"/>
    <w:rsid w:val="00B92977"/>
    <w:rsid w:val="00B9333B"/>
    <w:rsid w:val="00B95631"/>
    <w:rsid w:val="00BA08E6"/>
    <w:rsid w:val="00BA1784"/>
    <w:rsid w:val="00BA2638"/>
    <w:rsid w:val="00BA4315"/>
    <w:rsid w:val="00BA508D"/>
    <w:rsid w:val="00BA71D2"/>
    <w:rsid w:val="00BA74AB"/>
    <w:rsid w:val="00BA7BDF"/>
    <w:rsid w:val="00BB0DC2"/>
    <w:rsid w:val="00BB1012"/>
    <w:rsid w:val="00BB14CB"/>
    <w:rsid w:val="00BB1F1D"/>
    <w:rsid w:val="00BB2D5A"/>
    <w:rsid w:val="00BB3AA8"/>
    <w:rsid w:val="00BB3EEB"/>
    <w:rsid w:val="00BB42BA"/>
    <w:rsid w:val="00BB5889"/>
    <w:rsid w:val="00BB6C15"/>
    <w:rsid w:val="00BB6D69"/>
    <w:rsid w:val="00BB7033"/>
    <w:rsid w:val="00BB70C0"/>
    <w:rsid w:val="00BB795D"/>
    <w:rsid w:val="00BB7D88"/>
    <w:rsid w:val="00BC16E3"/>
    <w:rsid w:val="00BC2096"/>
    <w:rsid w:val="00BC262B"/>
    <w:rsid w:val="00BC46E5"/>
    <w:rsid w:val="00BC4A3C"/>
    <w:rsid w:val="00BC4C10"/>
    <w:rsid w:val="00BC4C60"/>
    <w:rsid w:val="00BC4D05"/>
    <w:rsid w:val="00BC5EB6"/>
    <w:rsid w:val="00BC621B"/>
    <w:rsid w:val="00BC6817"/>
    <w:rsid w:val="00BC7297"/>
    <w:rsid w:val="00BD0080"/>
    <w:rsid w:val="00BD05AF"/>
    <w:rsid w:val="00BD1038"/>
    <w:rsid w:val="00BD1C04"/>
    <w:rsid w:val="00BD1FBC"/>
    <w:rsid w:val="00BD2CC0"/>
    <w:rsid w:val="00BD3527"/>
    <w:rsid w:val="00BD52C2"/>
    <w:rsid w:val="00BD6164"/>
    <w:rsid w:val="00BD7011"/>
    <w:rsid w:val="00BD7D66"/>
    <w:rsid w:val="00BD88E0"/>
    <w:rsid w:val="00BE0FAB"/>
    <w:rsid w:val="00BE12A8"/>
    <w:rsid w:val="00BE30DC"/>
    <w:rsid w:val="00BE467E"/>
    <w:rsid w:val="00BE5B32"/>
    <w:rsid w:val="00BE5B5F"/>
    <w:rsid w:val="00BE7A64"/>
    <w:rsid w:val="00BF17EE"/>
    <w:rsid w:val="00BF2C01"/>
    <w:rsid w:val="00BF369A"/>
    <w:rsid w:val="00BF540B"/>
    <w:rsid w:val="00BF7A7C"/>
    <w:rsid w:val="00BF7E4C"/>
    <w:rsid w:val="00BF7FB8"/>
    <w:rsid w:val="00C010DC"/>
    <w:rsid w:val="00C01C5C"/>
    <w:rsid w:val="00C02050"/>
    <w:rsid w:val="00C0207C"/>
    <w:rsid w:val="00C056CC"/>
    <w:rsid w:val="00C05ADC"/>
    <w:rsid w:val="00C05F53"/>
    <w:rsid w:val="00C10CE6"/>
    <w:rsid w:val="00C12087"/>
    <w:rsid w:val="00C1287C"/>
    <w:rsid w:val="00C1570F"/>
    <w:rsid w:val="00C15B42"/>
    <w:rsid w:val="00C15E4A"/>
    <w:rsid w:val="00C16FD9"/>
    <w:rsid w:val="00C202A8"/>
    <w:rsid w:val="00C22F7C"/>
    <w:rsid w:val="00C23556"/>
    <w:rsid w:val="00C25A6B"/>
    <w:rsid w:val="00C269B3"/>
    <w:rsid w:val="00C2738D"/>
    <w:rsid w:val="00C27BBA"/>
    <w:rsid w:val="00C27FEE"/>
    <w:rsid w:val="00C30288"/>
    <w:rsid w:val="00C307FE"/>
    <w:rsid w:val="00C31D24"/>
    <w:rsid w:val="00C32061"/>
    <w:rsid w:val="00C32BAA"/>
    <w:rsid w:val="00C33AB2"/>
    <w:rsid w:val="00C33DA8"/>
    <w:rsid w:val="00C33F79"/>
    <w:rsid w:val="00C34827"/>
    <w:rsid w:val="00C37346"/>
    <w:rsid w:val="00C37351"/>
    <w:rsid w:val="00C374E0"/>
    <w:rsid w:val="00C40BA2"/>
    <w:rsid w:val="00C40F45"/>
    <w:rsid w:val="00C412DD"/>
    <w:rsid w:val="00C41C66"/>
    <w:rsid w:val="00C458A2"/>
    <w:rsid w:val="00C4691B"/>
    <w:rsid w:val="00C47023"/>
    <w:rsid w:val="00C5219A"/>
    <w:rsid w:val="00C53163"/>
    <w:rsid w:val="00C53A1B"/>
    <w:rsid w:val="00C545F4"/>
    <w:rsid w:val="00C55527"/>
    <w:rsid w:val="00C561EC"/>
    <w:rsid w:val="00C570CE"/>
    <w:rsid w:val="00C57EC5"/>
    <w:rsid w:val="00C60552"/>
    <w:rsid w:val="00C6184E"/>
    <w:rsid w:val="00C62A14"/>
    <w:rsid w:val="00C62ACB"/>
    <w:rsid w:val="00C6416B"/>
    <w:rsid w:val="00C64844"/>
    <w:rsid w:val="00C64B92"/>
    <w:rsid w:val="00C64E4C"/>
    <w:rsid w:val="00C65A63"/>
    <w:rsid w:val="00C65ADA"/>
    <w:rsid w:val="00C6622C"/>
    <w:rsid w:val="00C70615"/>
    <w:rsid w:val="00C70C21"/>
    <w:rsid w:val="00C723DE"/>
    <w:rsid w:val="00C72E1C"/>
    <w:rsid w:val="00C733F9"/>
    <w:rsid w:val="00C74DE8"/>
    <w:rsid w:val="00C75509"/>
    <w:rsid w:val="00C757F4"/>
    <w:rsid w:val="00C75AB9"/>
    <w:rsid w:val="00C76BCA"/>
    <w:rsid w:val="00C76D1C"/>
    <w:rsid w:val="00C803CC"/>
    <w:rsid w:val="00C80469"/>
    <w:rsid w:val="00C85B10"/>
    <w:rsid w:val="00C929D6"/>
    <w:rsid w:val="00C930E8"/>
    <w:rsid w:val="00C942E5"/>
    <w:rsid w:val="00C956D0"/>
    <w:rsid w:val="00C96624"/>
    <w:rsid w:val="00C96745"/>
    <w:rsid w:val="00C97CB6"/>
    <w:rsid w:val="00CA218F"/>
    <w:rsid w:val="00CA29A0"/>
    <w:rsid w:val="00CA3908"/>
    <w:rsid w:val="00CA6A55"/>
    <w:rsid w:val="00CB0B07"/>
    <w:rsid w:val="00CB12F3"/>
    <w:rsid w:val="00CB18E0"/>
    <w:rsid w:val="00CB19B2"/>
    <w:rsid w:val="00CB29E4"/>
    <w:rsid w:val="00CB3216"/>
    <w:rsid w:val="00CB5025"/>
    <w:rsid w:val="00CB6645"/>
    <w:rsid w:val="00CB6A20"/>
    <w:rsid w:val="00CB8855"/>
    <w:rsid w:val="00CC21B2"/>
    <w:rsid w:val="00CC2AA9"/>
    <w:rsid w:val="00CC2FCE"/>
    <w:rsid w:val="00CC39A5"/>
    <w:rsid w:val="00CC44DE"/>
    <w:rsid w:val="00CC45A0"/>
    <w:rsid w:val="00CC488B"/>
    <w:rsid w:val="00CC73C6"/>
    <w:rsid w:val="00CD30B1"/>
    <w:rsid w:val="00CD52E9"/>
    <w:rsid w:val="00CD6B3E"/>
    <w:rsid w:val="00CE0366"/>
    <w:rsid w:val="00CE057B"/>
    <w:rsid w:val="00CE08D3"/>
    <w:rsid w:val="00CE0E81"/>
    <w:rsid w:val="00CE1401"/>
    <w:rsid w:val="00CE199D"/>
    <w:rsid w:val="00CE1BF9"/>
    <w:rsid w:val="00CE2B5F"/>
    <w:rsid w:val="00CE2E5D"/>
    <w:rsid w:val="00CE3B38"/>
    <w:rsid w:val="00CE533B"/>
    <w:rsid w:val="00CE5356"/>
    <w:rsid w:val="00CE53DF"/>
    <w:rsid w:val="00CE5B9C"/>
    <w:rsid w:val="00CE68C8"/>
    <w:rsid w:val="00CE7A72"/>
    <w:rsid w:val="00CF0A23"/>
    <w:rsid w:val="00CF16A1"/>
    <w:rsid w:val="00CF1B4C"/>
    <w:rsid w:val="00CF498A"/>
    <w:rsid w:val="00CF49A8"/>
    <w:rsid w:val="00CF4AB7"/>
    <w:rsid w:val="00CF5C1C"/>
    <w:rsid w:val="00CF6C0A"/>
    <w:rsid w:val="00CF6F24"/>
    <w:rsid w:val="00CF71FD"/>
    <w:rsid w:val="00CF7383"/>
    <w:rsid w:val="00CF7C2C"/>
    <w:rsid w:val="00D008D0"/>
    <w:rsid w:val="00D00DD9"/>
    <w:rsid w:val="00D0144B"/>
    <w:rsid w:val="00D0199B"/>
    <w:rsid w:val="00D01F75"/>
    <w:rsid w:val="00D02B02"/>
    <w:rsid w:val="00D04327"/>
    <w:rsid w:val="00D04639"/>
    <w:rsid w:val="00D04CA8"/>
    <w:rsid w:val="00D04E7E"/>
    <w:rsid w:val="00D06895"/>
    <w:rsid w:val="00D06ECA"/>
    <w:rsid w:val="00D11040"/>
    <w:rsid w:val="00D1157E"/>
    <w:rsid w:val="00D1176A"/>
    <w:rsid w:val="00D14B43"/>
    <w:rsid w:val="00D15A38"/>
    <w:rsid w:val="00D15FD2"/>
    <w:rsid w:val="00D16BB1"/>
    <w:rsid w:val="00D17052"/>
    <w:rsid w:val="00D20B43"/>
    <w:rsid w:val="00D22CD3"/>
    <w:rsid w:val="00D23715"/>
    <w:rsid w:val="00D241FF"/>
    <w:rsid w:val="00D244E4"/>
    <w:rsid w:val="00D258FA"/>
    <w:rsid w:val="00D276CD"/>
    <w:rsid w:val="00D27A6D"/>
    <w:rsid w:val="00D27C93"/>
    <w:rsid w:val="00D3176A"/>
    <w:rsid w:val="00D31846"/>
    <w:rsid w:val="00D31D74"/>
    <w:rsid w:val="00D31FAF"/>
    <w:rsid w:val="00D32DCF"/>
    <w:rsid w:val="00D33C01"/>
    <w:rsid w:val="00D34385"/>
    <w:rsid w:val="00D36815"/>
    <w:rsid w:val="00D37297"/>
    <w:rsid w:val="00D3770C"/>
    <w:rsid w:val="00D3A09D"/>
    <w:rsid w:val="00D40E8C"/>
    <w:rsid w:val="00D4100A"/>
    <w:rsid w:val="00D4148C"/>
    <w:rsid w:val="00D41C0D"/>
    <w:rsid w:val="00D4255E"/>
    <w:rsid w:val="00D43726"/>
    <w:rsid w:val="00D44141"/>
    <w:rsid w:val="00D45E03"/>
    <w:rsid w:val="00D4600C"/>
    <w:rsid w:val="00D463A9"/>
    <w:rsid w:val="00D47675"/>
    <w:rsid w:val="00D47E5C"/>
    <w:rsid w:val="00D501D2"/>
    <w:rsid w:val="00D50E0E"/>
    <w:rsid w:val="00D51706"/>
    <w:rsid w:val="00D5248E"/>
    <w:rsid w:val="00D53EA5"/>
    <w:rsid w:val="00D540C6"/>
    <w:rsid w:val="00D54273"/>
    <w:rsid w:val="00D546C8"/>
    <w:rsid w:val="00D55664"/>
    <w:rsid w:val="00D55A15"/>
    <w:rsid w:val="00D56422"/>
    <w:rsid w:val="00D56DF0"/>
    <w:rsid w:val="00D57AD5"/>
    <w:rsid w:val="00D6101A"/>
    <w:rsid w:val="00D615E7"/>
    <w:rsid w:val="00D61D41"/>
    <w:rsid w:val="00D62880"/>
    <w:rsid w:val="00D63059"/>
    <w:rsid w:val="00D646AA"/>
    <w:rsid w:val="00D64877"/>
    <w:rsid w:val="00D64F35"/>
    <w:rsid w:val="00D6535A"/>
    <w:rsid w:val="00D653A9"/>
    <w:rsid w:val="00D6589C"/>
    <w:rsid w:val="00D65DA5"/>
    <w:rsid w:val="00D6749A"/>
    <w:rsid w:val="00D6776C"/>
    <w:rsid w:val="00D701ED"/>
    <w:rsid w:val="00D71CCA"/>
    <w:rsid w:val="00D71DD8"/>
    <w:rsid w:val="00D72009"/>
    <w:rsid w:val="00D750F2"/>
    <w:rsid w:val="00D755AD"/>
    <w:rsid w:val="00D75A19"/>
    <w:rsid w:val="00D81A9E"/>
    <w:rsid w:val="00D83C6A"/>
    <w:rsid w:val="00D86734"/>
    <w:rsid w:val="00D86A80"/>
    <w:rsid w:val="00D87A7C"/>
    <w:rsid w:val="00D9286E"/>
    <w:rsid w:val="00D93158"/>
    <w:rsid w:val="00D935BE"/>
    <w:rsid w:val="00D937CF"/>
    <w:rsid w:val="00D93FD2"/>
    <w:rsid w:val="00D94499"/>
    <w:rsid w:val="00D94AED"/>
    <w:rsid w:val="00D94E16"/>
    <w:rsid w:val="00D95006"/>
    <w:rsid w:val="00D95340"/>
    <w:rsid w:val="00D95FA7"/>
    <w:rsid w:val="00D968BE"/>
    <w:rsid w:val="00D96DF8"/>
    <w:rsid w:val="00D97B19"/>
    <w:rsid w:val="00DA0C07"/>
    <w:rsid w:val="00DA278E"/>
    <w:rsid w:val="00DA5BEE"/>
    <w:rsid w:val="00DA616F"/>
    <w:rsid w:val="00DA75D0"/>
    <w:rsid w:val="00DB0BFF"/>
    <w:rsid w:val="00DB211C"/>
    <w:rsid w:val="00DB4047"/>
    <w:rsid w:val="00DB497D"/>
    <w:rsid w:val="00DB5003"/>
    <w:rsid w:val="00DB642E"/>
    <w:rsid w:val="00DB6640"/>
    <w:rsid w:val="00DB789D"/>
    <w:rsid w:val="00DB7E9A"/>
    <w:rsid w:val="00DC0314"/>
    <w:rsid w:val="00DC0975"/>
    <w:rsid w:val="00DC13B3"/>
    <w:rsid w:val="00DC275C"/>
    <w:rsid w:val="00DC5AC4"/>
    <w:rsid w:val="00DC6376"/>
    <w:rsid w:val="00DC660D"/>
    <w:rsid w:val="00DC7C54"/>
    <w:rsid w:val="00DD1B4A"/>
    <w:rsid w:val="00DD1C33"/>
    <w:rsid w:val="00DD1EAE"/>
    <w:rsid w:val="00DD3822"/>
    <w:rsid w:val="00DD52B2"/>
    <w:rsid w:val="00DD5DE1"/>
    <w:rsid w:val="00DD5F47"/>
    <w:rsid w:val="00DE0BB2"/>
    <w:rsid w:val="00DE1FE4"/>
    <w:rsid w:val="00DE5C07"/>
    <w:rsid w:val="00DE5C2A"/>
    <w:rsid w:val="00DE65CB"/>
    <w:rsid w:val="00DE7EC5"/>
    <w:rsid w:val="00DF142B"/>
    <w:rsid w:val="00DF1AA5"/>
    <w:rsid w:val="00DF1B23"/>
    <w:rsid w:val="00DF2DA0"/>
    <w:rsid w:val="00DF3469"/>
    <w:rsid w:val="00DF5678"/>
    <w:rsid w:val="00DF5AB1"/>
    <w:rsid w:val="00DF5F2D"/>
    <w:rsid w:val="00DF6370"/>
    <w:rsid w:val="00DF65F4"/>
    <w:rsid w:val="00DF75BD"/>
    <w:rsid w:val="00DF7AB5"/>
    <w:rsid w:val="00DF7F66"/>
    <w:rsid w:val="00E01151"/>
    <w:rsid w:val="00E023D3"/>
    <w:rsid w:val="00E0309C"/>
    <w:rsid w:val="00E038A8"/>
    <w:rsid w:val="00E04FE0"/>
    <w:rsid w:val="00E052E7"/>
    <w:rsid w:val="00E11207"/>
    <w:rsid w:val="00E11C5A"/>
    <w:rsid w:val="00E12524"/>
    <w:rsid w:val="00E130A5"/>
    <w:rsid w:val="00E1396B"/>
    <w:rsid w:val="00E14586"/>
    <w:rsid w:val="00E1482F"/>
    <w:rsid w:val="00E14F9E"/>
    <w:rsid w:val="00E14FD8"/>
    <w:rsid w:val="00E1513D"/>
    <w:rsid w:val="00E17C51"/>
    <w:rsid w:val="00E206FA"/>
    <w:rsid w:val="00E2345E"/>
    <w:rsid w:val="00E26F21"/>
    <w:rsid w:val="00E27B24"/>
    <w:rsid w:val="00E27D27"/>
    <w:rsid w:val="00E31170"/>
    <w:rsid w:val="00E325C4"/>
    <w:rsid w:val="00E327F8"/>
    <w:rsid w:val="00E32F1A"/>
    <w:rsid w:val="00E338C8"/>
    <w:rsid w:val="00E3418B"/>
    <w:rsid w:val="00E351E4"/>
    <w:rsid w:val="00E358C3"/>
    <w:rsid w:val="00E4091E"/>
    <w:rsid w:val="00E40B43"/>
    <w:rsid w:val="00E41CFF"/>
    <w:rsid w:val="00E42BBE"/>
    <w:rsid w:val="00E42EF9"/>
    <w:rsid w:val="00E432A2"/>
    <w:rsid w:val="00E4371F"/>
    <w:rsid w:val="00E44283"/>
    <w:rsid w:val="00E452F7"/>
    <w:rsid w:val="00E45609"/>
    <w:rsid w:val="00E45E04"/>
    <w:rsid w:val="00E47D1B"/>
    <w:rsid w:val="00E5244D"/>
    <w:rsid w:val="00E52F05"/>
    <w:rsid w:val="00E53951"/>
    <w:rsid w:val="00E55C42"/>
    <w:rsid w:val="00E56551"/>
    <w:rsid w:val="00E5767A"/>
    <w:rsid w:val="00E57EF8"/>
    <w:rsid w:val="00E60C67"/>
    <w:rsid w:val="00E61F5A"/>
    <w:rsid w:val="00E6270B"/>
    <w:rsid w:val="00E62919"/>
    <w:rsid w:val="00E63218"/>
    <w:rsid w:val="00E70982"/>
    <w:rsid w:val="00E70F77"/>
    <w:rsid w:val="00E7142A"/>
    <w:rsid w:val="00E71DDE"/>
    <w:rsid w:val="00E7224B"/>
    <w:rsid w:val="00E72CFC"/>
    <w:rsid w:val="00E73CA0"/>
    <w:rsid w:val="00E73D06"/>
    <w:rsid w:val="00E73FD9"/>
    <w:rsid w:val="00E741F6"/>
    <w:rsid w:val="00E84698"/>
    <w:rsid w:val="00E84F45"/>
    <w:rsid w:val="00E85ABF"/>
    <w:rsid w:val="00E86953"/>
    <w:rsid w:val="00E90FB1"/>
    <w:rsid w:val="00E90FED"/>
    <w:rsid w:val="00E9165E"/>
    <w:rsid w:val="00E92A70"/>
    <w:rsid w:val="00E92AF5"/>
    <w:rsid w:val="00E95210"/>
    <w:rsid w:val="00E96C8D"/>
    <w:rsid w:val="00E974B6"/>
    <w:rsid w:val="00EA00E6"/>
    <w:rsid w:val="00EA1512"/>
    <w:rsid w:val="00EA29FF"/>
    <w:rsid w:val="00EA3213"/>
    <w:rsid w:val="00EA431F"/>
    <w:rsid w:val="00EA5335"/>
    <w:rsid w:val="00EA72EB"/>
    <w:rsid w:val="00EB221F"/>
    <w:rsid w:val="00EB336D"/>
    <w:rsid w:val="00EB4A2F"/>
    <w:rsid w:val="00EB5091"/>
    <w:rsid w:val="00EB5ABA"/>
    <w:rsid w:val="00EB7CA1"/>
    <w:rsid w:val="00EC07B9"/>
    <w:rsid w:val="00EC1216"/>
    <w:rsid w:val="00EC148F"/>
    <w:rsid w:val="00EC4B4D"/>
    <w:rsid w:val="00EC4D19"/>
    <w:rsid w:val="00EC703A"/>
    <w:rsid w:val="00EC75A4"/>
    <w:rsid w:val="00EC7CA4"/>
    <w:rsid w:val="00ED08E2"/>
    <w:rsid w:val="00ED11D4"/>
    <w:rsid w:val="00ED2971"/>
    <w:rsid w:val="00ED35C2"/>
    <w:rsid w:val="00ED3BA8"/>
    <w:rsid w:val="00ED3F6F"/>
    <w:rsid w:val="00ED4EAD"/>
    <w:rsid w:val="00ED5045"/>
    <w:rsid w:val="00ED5BFA"/>
    <w:rsid w:val="00EDF15E"/>
    <w:rsid w:val="00EE24AF"/>
    <w:rsid w:val="00EE2787"/>
    <w:rsid w:val="00EE59DB"/>
    <w:rsid w:val="00EE5FE3"/>
    <w:rsid w:val="00EE65AC"/>
    <w:rsid w:val="00EE67E4"/>
    <w:rsid w:val="00EE7F31"/>
    <w:rsid w:val="00EE7FE5"/>
    <w:rsid w:val="00EEFB01"/>
    <w:rsid w:val="00EF0633"/>
    <w:rsid w:val="00EF0EF0"/>
    <w:rsid w:val="00EF1AA2"/>
    <w:rsid w:val="00EF2CDA"/>
    <w:rsid w:val="00EF35E7"/>
    <w:rsid w:val="00EF5961"/>
    <w:rsid w:val="00EF5B09"/>
    <w:rsid w:val="00EF6E14"/>
    <w:rsid w:val="00F00F73"/>
    <w:rsid w:val="00F01717"/>
    <w:rsid w:val="00F01BBC"/>
    <w:rsid w:val="00F01CCB"/>
    <w:rsid w:val="00F0374A"/>
    <w:rsid w:val="00F04439"/>
    <w:rsid w:val="00F04920"/>
    <w:rsid w:val="00F06C30"/>
    <w:rsid w:val="00F103E4"/>
    <w:rsid w:val="00F11126"/>
    <w:rsid w:val="00F12A66"/>
    <w:rsid w:val="00F132CB"/>
    <w:rsid w:val="00F146EE"/>
    <w:rsid w:val="00F16044"/>
    <w:rsid w:val="00F16D5A"/>
    <w:rsid w:val="00F21211"/>
    <w:rsid w:val="00F212B3"/>
    <w:rsid w:val="00F228B7"/>
    <w:rsid w:val="00F22A07"/>
    <w:rsid w:val="00F2459E"/>
    <w:rsid w:val="00F2581B"/>
    <w:rsid w:val="00F25CDF"/>
    <w:rsid w:val="00F260B3"/>
    <w:rsid w:val="00F262BB"/>
    <w:rsid w:val="00F27C3C"/>
    <w:rsid w:val="00F27E4F"/>
    <w:rsid w:val="00F30F47"/>
    <w:rsid w:val="00F3233C"/>
    <w:rsid w:val="00F323EA"/>
    <w:rsid w:val="00F329F6"/>
    <w:rsid w:val="00F33255"/>
    <w:rsid w:val="00F3352D"/>
    <w:rsid w:val="00F341F1"/>
    <w:rsid w:val="00F3435D"/>
    <w:rsid w:val="00F3460B"/>
    <w:rsid w:val="00F34DB7"/>
    <w:rsid w:val="00F34DF5"/>
    <w:rsid w:val="00F34E12"/>
    <w:rsid w:val="00F35A0F"/>
    <w:rsid w:val="00F35D98"/>
    <w:rsid w:val="00F3614C"/>
    <w:rsid w:val="00F36889"/>
    <w:rsid w:val="00F3689A"/>
    <w:rsid w:val="00F36D7B"/>
    <w:rsid w:val="00F37D43"/>
    <w:rsid w:val="00F40139"/>
    <w:rsid w:val="00F428E2"/>
    <w:rsid w:val="00F434FE"/>
    <w:rsid w:val="00F439D2"/>
    <w:rsid w:val="00F43D60"/>
    <w:rsid w:val="00F445DF"/>
    <w:rsid w:val="00F462EA"/>
    <w:rsid w:val="00F46751"/>
    <w:rsid w:val="00F46BBC"/>
    <w:rsid w:val="00F475CA"/>
    <w:rsid w:val="00F52137"/>
    <w:rsid w:val="00F567D5"/>
    <w:rsid w:val="00F5689D"/>
    <w:rsid w:val="00F56972"/>
    <w:rsid w:val="00F57CA2"/>
    <w:rsid w:val="00F61D28"/>
    <w:rsid w:val="00F621D1"/>
    <w:rsid w:val="00F62412"/>
    <w:rsid w:val="00F6260E"/>
    <w:rsid w:val="00F6306B"/>
    <w:rsid w:val="00F64CB7"/>
    <w:rsid w:val="00F65C17"/>
    <w:rsid w:val="00F66700"/>
    <w:rsid w:val="00F670CB"/>
    <w:rsid w:val="00F707A2"/>
    <w:rsid w:val="00F7092C"/>
    <w:rsid w:val="00F71E55"/>
    <w:rsid w:val="00F72010"/>
    <w:rsid w:val="00F727CC"/>
    <w:rsid w:val="00F72FC5"/>
    <w:rsid w:val="00F740B2"/>
    <w:rsid w:val="00F745AA"/>
    <w:rsid w:val="00F750F5"/>
    <w:rsid w:val="00F76D1A"/>
    <w:rsid w:val="00F77252"/>
    <w:rsid w:val="00F77324"/>
    <w:rsid w:val="00F779C5"/>
    <w:rsid w:val="00F8067E"/>
    <w:rsid w:val="00F80C1B"/>
    <w:rsid w:val="00F82686"/>
    <w:rsid w:val="00F82B69"/>
    <w:rsid w:val="00F84DCB"/>
    <w:rsid w:val="00F85BCA"/>
    <w:rsid w:val="00F86DAC"/>
    <w:rsid w:val="00F87F3E"/>
    <w:rsid w:val="00F9055E"/>
    <w:rsid w:val="00F90978"/>
    <w:rsid w:val="00F90A3C"/>
    <w:rsid w:val="00F92E2D"/>
    <w:rsid w:val="00F93DEB"/>
    <w:rsid w:val="00F94630"/>
    <w:rsid w:val="00F94BB6"/>
    <w:rsid w:val="00F9587E"/>
    <w:rsid w:val="00F969FF"/>
    <w:rsid w:val="00F96A8C"/>
    <w:rsid w:val="00F9730C"/>
    <w:rsid w:val="00FA04A3"/>
    <w:rsid w:val="00FA0732"/>
    <w:rsid w:val="00FA13FD"/>
    <w:rsid w:val="00FA1618"/>
    <w:rsid w:val="00FA517A"/>
    <w:rsid w:val="00FA5B85"/>
    <w:rsid w:val="00FB093A"/>
    <w:rsid w:val="00FB393C"/>
    <w:rsid w:val="00FB6898"/>
    <w:rsid w:val="00FB6CE7"/>
    <w:rsid w:val="00FC1183"/>
    <w:rsid w:val="00FC4A4F"/>
    <w:rsid w:val="00FD3F8F"/>
    <w:rsid w:val="00FD48AE"/>
    <w:rsid w:val="00FD48FF"/>
    <w:rsid w:val="00FD49FB"/>
    <w:rsid w:val="00FD4F26"/>
    <w:rsid w:val="00FD50FA"/>
    <w:rsid w:val="00FD51EA"/>
    <w:rsid w:val="00FD61B0"/>
    <w:rsid w:val="00FD675D"/>
    <w:rsid w:val="00FD6983"/>
    <w:rsid w:val="00FD7C69"/>
    <w:rsid w:val="00FE07B9"/>
    <w:rsid w:val="00FE16C6"/>
    <w:rsid w:val="00FE1BF9"/>
    <w:rsid w:val="00FE2B72"/>
    <w:rsid w:val="00FE5717"/>
    <w:rsid w:val="00FE5FB0"/>
    <w:rsid w:val="00FE739E"/>
    <w:rsid w:val="00FF120A"/>
    <w:rsid w:val="00FF13EB"/>
    <w:rsid w:val="00FF1CF1"/>
    <w:rsid w:val="00FF2006"/>
    <w:rsid w:val="00FF3FC4"/>
    <w:rsid w:val="00FF42F1"/>
    <w:rsid w:val="00FF4F91"/>
    <w:rsid w:val="00FF619F"/>
    <w:rsid w:val="00FF7A0A"/>
    <w:rsid w:val="00FF7FDF"/>
    <w:rsid w:val="0105C03F"/>
    <w:rsid w:val="0111C178"/>
    <w:rsid w:val="0113E9F1"/>
    <w:rsid w:val="0121E0EC"/>
    <w:rsid w:val="012B197A"/>
    <w:rsid w:val="013D5861"/>
    <w:rsid w:val="014312E7"/>
    <w:rsid w:val="014A9ACB"/>
    <w:rsid w:val="01928712"/>
    <w:rsid w:val="01A1A617"/>
    <w:rsid w:val="01A7BDF8"/>
    <w:rsid w:val="01BEDC9E"/>
    <w:rsid w:val="01C79764"/>
    <w:rsid w:val="01CA99F4"/>
    <w:rsid w:val="01CC616A"/>
    <w:rsid w:val="01E356A8"/>
    <w:rsid w:val="01FFC19A"/>
    <w:rsid w:val="0222750B"/>
    <w:rsid w:val="022EA54F"/>
    <w:rsid w:val="024E04FE"/>
    <w:rsid w:val="024F44CA"/>
    <w:rsid w:val="025C3EEC"/>
    <w:rsid w:val="027B20BB"/>
    <w:rsid w:val="0280C415"/>
    <w:rsid w:val="0283D58D"/>
    <w:rsid w:val="028E15BF"/>
    <w:rsid w:val="029C4755"/>
    <w:rsid w:val="02C6CAEF"/>
    <w:rsid w:val="02D38346"/>
    <w:rsid w:val="02DCA3A3"/>
    <w:rsid w:val="02F10A0A"/>
    <w:rsid w:val="0305CBC9"/>
    <w:rsid w:val="03156D9F"/>
    <w:rsid w:val="03301248"/>
    <w:rsid w:val="0340263F"/>
    <w:rsid w:val="03546E3F"/>
    <w:rsid w:val="037121DA"/>
    <w:rsid w:val="037BE1F8"/>
    <w:rsid w:val="03966620"/>
    <w:rsid w:val="03AC87F6"/>
    <w:rsid w:val="03AE21E1"/>
    <w:rsid w:val="03B037FE"/>
    <w:rsid w:val="03B7FA53"/>
    <w:rsid w:val="03D1A6F5"/>
    <w:rsid w:val="03DB7A3D"/>
    <w:rsid w:val="03DCE5F2"/>
    <w:rsid w:val="03F388F2"/>
    <w:rsid w:val="03FBCFF4"/>
    <w:rsid w:val="03FC9D6F"/>
    <w:rsid w:val="0434F74B"/>
    <w:rsid w:val="043CC0E0"/>
    <w:rsid w:val="0441A65B"/>
    <w:rsid w:val="04472A62"/>
    <w:rsid w:val="0453E9E4"/>
    <w:rsid w:val="048DC1B1"/>
    <w:rsid w:val="048FA901"/>
    <w:rsid w:val="04982EA1"/>
    <w:rsid w:val="049E09BD"/>
    <w:rsid w:val="04A6B228"/>
    <w:rsid w:val="04AE8AFF"/>
    <w:rsid w:val="04B3374F"/>
    <w:rsid w:val="04C0A855"/>
    <w:rsid w:val="04C7EB96"/>
    <w:rsid w:val="04CDD4BC"/>
    <w:rsid w:val="04D10711"/>
    <w:rsid w:val="04DA4084"/>
    <w:rsid w:val="04E7FD88"/>
    <w:rsid w:val="04FE4893"/>
    <w:rsid w:val="05038F3D"/>
    <w:rsid w:val="051832C8"/>
    <w:rsid w:val="052C63D6"/>
    <w:rsid w:val="052FBBAC"/>
    <w:rsid w:val="055470A7"/>
    <w:rsid w:val="058D8770"/>
    <w:rsid w:val="0593DFAE"/>
    <w:rsid w:val="059F4FDB"/>
    <w:rsid w:val="05A48F99"/>
    <w:rsid w:val="05B8A48B"/>
    <w:rsid w:val="05BA7F99"/>
    <w:rsid w:val="05DA6591"/>
    <w:rsid w:val="05DD6839"/>
    <w:rsid w:val="05E23175"/>
    <w:rsid w:val="05F6897C"/>
    <w:rsid w:val="05F7BBD3"/>
    <w:rsid w:val="05FF7688"/>
    <w:rsid w:val="05FFF4D5"/>
    <w:rsid w:val="06026F88"/>
    <w:rsid w:val="0609243C"/>
    <w:rsid w:val="0616840A"/>
    <w:rsid w:val="063737A0"/>
    <w:rsid w:val="0641F44E"/>
    <w:rsid w:val="064493D0"/>
    <w:rsid w:val="06469856"/>
    <w:rsid w:val="0646D1BD"/>
    <w:rsid w:val="0672458F"/>
    <w:rsid w:val="06A739AB"/>
    <w:rsid w:val="06A7C013"/>
    <w:rsid w:val="06D1197A"/>
    <w:rsid w:val="06D715F4"/>
    <w:rsid w:val="06DF41B9"/>
    <w:rsid w:val="06F92367"/>
    <w:rsid w:val="071BE781"/>
    <w:rsid w:val="0727C1F5"/>
    <w:rsid w:val="07317770"/>
    <w:rsid w:val="073ADD1D"/>
    <w:rsid w:val="074EC31A"/>
    <w:rsid w:val="075681D0"/>
    <w:rsid w:val="077A4E3B"/>
    <w:rsid w:val="077FD40C"/>
    <w:rsid w:val="07BD1408"/>
    <w:rsid w:val="07CA00AF"/>
    <w:rsid w:val="07CAB27F"/>
    <w:rsid w:val="07F05AEE"/>
    <w:rsid w:val="07F47F6F"/>
    <w:rsid w:val="0813B45D"/>
    <w:rsid w:val="083A6687"/>
    <w:rsid w:val="0840F276"/>
    <w:rsid w:val="08799C2C"/>
    <w:rsid w:val="089D4F5B"/>
    <w:rsid w:val="08A0E424"/>
    <w:rsid w:val="08A11F30"/>
    <w:rsid w:val="08A5E44A"/>
    <w:rsid w:val="08A8B3DD"/>
    <w:rsid w:val="08AC3EC3"/>
    <w:rsid w:val="08B15751"/>
    <w:rsid w:val="08D0B435"/>
    <w:rsid w:val="08E4DC7B"/>
    <w:rsid w:val="08E536A6"/>
    <w:rsid w:val="090BBBAA"/>
    <w:rsid w:val="091436FE"/>
    <w:rsid w:val="0934CAB2"/>
    <w:rsid w:val="09456AD1"/>
    <w:rsid w:val="0958C2CB"/>
    <w:rsid w:val="0959C7D8"/>
    <w:rsid w:val="095CFE8D"/>
    <w:rsid w:val="095E713E"/>
    <w:rsid w:val="0965B992"/>
    <w:rsid w:val="096D0EA5"/>
    <w:rsid w:val="09730062"/>
    <w:rsid w:val="09898B0F"/>
    <w:rsid w:val="098B4C30"/>
    <w:rsid w:val="098C5D25"/>
    <w:rsid w:val="098DE6AA"/>
    <w:rsid w:val="09B3804F"/>
    <w:rsid w:val="09BC7AED"/>
    <w:rsid w:val="09BDDE7F"/>
    <w:rsid w:val="09C89020"/>
    <w:rsid w:val="09DB7269"/>
    <w:rsid w:val="09E6B00C"/>
    <w:rsid w:val="09FE3B59"/>
    <w:rsid w:val="09FE5196"/>
    <w:rsid w:val="0A0C0098"/>
    <w:rsid w:val="0A1597F5"/>
    <w:rsid w:val="0A2016EC"/>
    <w:rsid w:val="0A227CD8"/>
    <w:rsid w:val="0A375B74"/>
    <w:rsid w:val="0A3D93D2"/>
    <w:rsid w:val="0A46FB9A"/>
    <w:rsid w:val="0A7078D8"/>
    <w:rsid w:val="0A7FBF8E"/>
    <w:rsid w:val="0A9D765A"/>
    <w:rsid w:val="0AA76AD2"/>
    <w:rsid w:val="0AB53493"/>
    <w:rsid w:val="0AC0F0D6"/>
    <w:rsid w:val="0AC0FA0B"/>
    <w:rsid w:val="0AC2A006"/>
    <w:rsid w:val="0AE24D88"/>
    <w:rsid w:val="0AE3DAD8"/>
    <w:rsid w:val="0B011E0A"/>
    <w:rsid w:val="0B165165"/>
    <w:rsid w:val="0B213155"/>
    <w:rsid w:val="0B21D4AB"/>
    <w:rsid w:val="0B248B86"/>
    <w:rsid w:val="0B2B22C2"/>
    <w:rsid w:val="0B3548C0"/>
    <w:rsid w:val="0B6F023D"/>
    <w:rsid w:val="0B743C21"/>
    <w:rsid w:val="0B7910BF"/>
    <w:rsid w:val="0B86BF22"/>
    <w:rsid w:val="0B8A48E1"/>
    <w:rsid w:val="0B90FDD8"/>
    <w:rsid w:val="0B9EA44F"/>
    <w:rsid w:val="0BAC8126"/>
    <w:rsid w:val="0BDC2D67"/>
    <w:rsid w:val="0BE5D77C"/>
    <w:rsid w:val="0BF534C7"/>
    <w:rsid w:val="0C018CAB"/>
    <w:rsid w:val="0C38FAF4"/>
    <w:rsid w:val="0C40C48D"/>
    <w:rsid w:val="0C5FA348"/>
    <w:rsid w:val="0C74748C"/>
    <w:rsid w:val="0C7551FE"/>
    <w:rsid w:val="0C826D8F"/>
    <w:rsid w:val="0C9D3E4D"/>
    <w:rsid w:val="0CAC58ED"/>
    <w:rsid w:val="0CE71EFD"/>
    <w:rsid w:val="0CEA0D24"/>
    <w:rsid w:val="0D06E8A1"/>
    <w:rsid w:val="0D07CB53"/>
    <w:rsid w:val="0D087F00"/>
    <w:rsid w:val="0D0C415E"/>
    <w:rsid w:val="0D0E29A1"/>
    <w:rsid w:val="0D227686"/>
    <w:rsid w:val="0D295E4F"/>
    <w:rsid w:val="0D33A859"/>
    <w:rsid w:val="0D43F8BC"/>
    <w:rsid w:val="0D45B43C"/>
    <w:rsid w:val="0D555E36"/>
    <w:rsid w:val="0D80BF60"/>
    <w:rsid w:val="0D8AEA03"/>
    <w:rsid w:val="0D8D718C"/>
    <w:rsid w:val="0D8F88B5"/>
    <w:rsid w:val="0D910528"/>
    <w:rsid w:val="0DAA4F5A"/>
    <w:rsid w:val="0DAF9F80"/>
    <w:rsid w:val="0DB05A98"/>
    <w:rsid w:val="0DB1FF5E"/>
    <w:rsid w:val="0DC72359"/>
    <w:rsid w:val="0DD9F0DA"/>
    <w:rsid w:val="0DEBB613"/>
    <w:rsid w:val="0DEE2E4A"/>
    <w:rsid w:val="0E0BEFAE"/>
    <w:rsid w:val="0E143BBA"/>
    <w:rsid w:val="0E2053B6"/>
    <w:rsid w:val="0E25F37E"/>
    <w:rsid w:val="0E35A436"/>
    <w:rsid w:val="0E387B61"/>
    <w:rsid w:val="0E3FA54B"/>
    <w:rsid w:val="0E4CEEAB"/>
    <w:rsid w:val="0E5291B1"/>
    <w:rsid w:val="0E56D46F"/>
    <w:rsid w:val="0E59FA51"/>
    <w:rsid w:val="0E62FCE4"/>
    <w:rsid w:val="0E634F85"/>
    <w:rsid w:val="0E65F566"/>
    <w:rsid w:val="0E75B771"/>
    <w:rsid w:val="0E83C7E2"/>
    <w:rsid w:val="0EA2B902"/>
    <w:rsid w:val="0EB1FE63"/>
    <w:rsid w:val="0EB2FA82"/>
    <w:rsid w:val="0EC6A0E5"/>
    <w:rsid w:val="0ED95766"/>
    <w:rsid w:val="0EECC43D"/>
    <w:rsid w:val="0EF699F7"/>
    <w:rsid w:val="0F14DB29"/>
    <w:rsid w:val="0F3490F4"/>
    <w:rsid w:val="0F37C675"/>
    <w:rsid w:val="0F42A9DC"/>
    <w:rsid w:val="0F461FBB"/>
    <w:rsid w:val="0F591DBA"/>
    <w:rsid w:val="0F76DBCA"/>
    <w:rsid w:val="0F79EE30"/>
    <w:rsid w:val="0F88D785"/>
    <w:rsid w:val="0FA736FB"/>
    <w:rsid w:val="0FB26F3D"/>
    <w:rsid w:val="0FB2FDE5"/>
    <w:rsid w:val="0FC89651"/>
    <w:rsid w:val="0FE8E2DB"/>
    <w:rsid w:val="0FFA522A"/>
    <w:rsid w:val="1008518C"/>
    <w:rsid w:val="100D7B8C"/>
    <w:rsid w:val="1021B888"/>
    <w:rsid w:val="102313EB"/>
    <w:rsid w:val="102BBC71"/>
    <w:rsid w:val="103306EC"/>
    <w:rsid w:val="103C68D3"/>
    <w:rsid w:val="10559D32"/>
    <w:rsid w:val="107207B6"/>
    <w:rsid w:val="107BC177"/>
    <w:rsid w:val="10800EB5"/>
    <w:rsid w:val="10B9DFD4"/>
    <w:rsid w:val="10CB1904"/>
    <w:rsid w:val="10D78D84"/>
    <w:rsid w:val="10D8BD64"/>
    <w:rsid w:val="11015F24"/>
    <w:rsid w:val="11156EB2"/>
    <w:rsid w:val="111FA831"/>
    <w:rsid w:val="1124AE80"/>
    <w:rsid w:val="112755D3"/>
    <w:rsid w:val="1141F46D"/>
    <w:rsid w:val="115D9440"/>
    <w:rsid w:val="1160E98A"/>
    <w:rsid w:val="1160F123"/>
    <w:rsid w:val="116D64EC"/>
    <w:rsid w:val="1170523A"/>
    <w:rsid w:val="117298B1"/>
    <w:rsid w:val="1187BD32"/>
    <w:rsid w:val="1195A99D"/>
    <w:rsid w:val="11AB33FB"/>
    <w:rsid w:val="11B90773"/>
    <w:rsid w:val="11EE6482"/>
    <w:rsid w:val="121E921E"/>
    <w:rsid w:val="1238F1AE"/>
    <w:rsid w:val="125314EC"/>
    <w:rsid w:val="1253EA10"/>
    <w:rsid w:val="126165FE"/>
    <w:rsid w:val="126A0BE6"/>
    <w:rsid w:val="126A7F90"/>
    <w:rsid w:val="126F68F6"/>
    <w:rsid w:val="12748DC5"/>
    <w:rsid w:val="12826732"/>
    <w:rsid w:val="128A8C06"/>
    <w:rsid w:val="128C3B87"/>
    <w:rsid w:val="128D052E"/>
    <w:rsid w:val="128F5629"/>
    <w:rsid w:val="12AAE61F"/>
    <w:rsid w:val="12BB16B7"/>
    <w:rsid w:val="12D0D14D"/>
    <w:rsid w:val="12DE31A0"/>
    <w:rsid w:val="12EA41D5"/>
    <w:rsid w:val="1302345E"/>
    <w:rsid w:val="1311C5DC"/>
    <w:rsid w:val="131E053E"/>
    <w:rsid w:val="1337D2F2"/>
    <w:rsid w:val="135A13BE"/>
    <w:rsid w:val="135BAC5C"/>
    <w:rsid w:val="13762A25"/>
    <w:rsid w:val="1383E864"/>
    <w:rsid w:val="13967887"/>
    <w:rsid w:val="13A4BE06"/>
    <w:rsid w:val="13A7F683"/>
    <w:rsid w:val="13AE18AC"/>
    <w:rsid w:val="13B2E308"/>
    <w:rsid w:val="13B5490A"/>
    <w:rsid w:val="13B7AE32"/>
    <w:rsid w:val="13D6F12E"/>
    <w:rsid w:val="13D8A7F3"/>
    <w:rsid w:val="13FCD84C"/>
    <w:rsid w:val="14034C91"/>
    <w:rsid w:val="140644FD"/>
    <w:rsid w:val="1409E19C"/>
    <w:rsid w:val="140E7529"/>
    <w:rsid w:val="141AF53B"/>
    <w:rsid w:val="142799D6"/>
    <w:rsid w:val="1428C22F"/>
    <w:rsid w:val="1431A5DF"/>
    <w:rsid w:val="14341D98"/>
    <w:rsid w:val="143DF0A2"/>
    <w:rsid w:val="1444CE1A"/>
    <w:rsid w:val="14457661"/>
    <w:rsid w:val="1445E953"/>
    <w:rsid w:val="145613E4"/>
    <w:rsid w:val="14775520"/>
    <w:rsid w:val="14780389"/>
    <w:rsid w:val="147A6F5A"/>
    <w:rsid w:val="1483353A"/>
    <w:rsid w:val="148EC5A7"/>
    <w:rsid w:val="14B08B52"/>
    <w:rsid w:val="14B7062B"/>
    <w:rsid w:val="14D0E532"/>
    <w:rsid w:val="14FB03B3"/>
    <w:rsid w:val="1508EB1F"/>
    <w:rsid w:val="150D3A13"/>
    <w:rsid w:val="15151C3B"/>
    <w:rsid w:val="151A7183"/>
    <w:rsid w:val="1537A5BD"/>
    <w:rsid w:val="15409F96"/>
    <w:rsid w:val="15488CD9"/>
    <w:rsid w:val="15506878"/>
    <w:rsid w:val="155C4B1D"/>
    <w:rsid w:val="1579E6C6"/>
    <w:rsid w:val="15B2034F"/>
    <w:rsid w:val="15B5EDEA"/>
    <w:rsid w:val="15BB0433"/>
    <w:rsid w:val="15C3EDB8"/>
    <w:rsid w:val="15E1F94B"/>
    <w:rsid w:val="15E9774D"/>
    <w:rsid w:val="16132581"/>
    <w:rsid w:val="16172DE9"/>
    <w:rsid w:val="16305D1B"/>
    <w:rsid w:val="16404552"/>
    <w:rsid w:val="16476B7C"/>
    <w:rsid w:val="164AB730"/>
    <w:rsid w:val="1652AF74"/>
    <w:rsid w:val="1659FE6C"/>
    <w:rsid w:val="166093D9"/>
    <w:rsid w:val="1660F381"/>
    <w:rsid w:val="1662CE70"/>
    <w:rsid w:val="1663D3E7"/>
    <w:rsid w:val="166B2BE7"/>
    <w:rsid w:val="166EDC3C"/>
    <w:rsid w:val="166EE845"/>
    <w:rsid w:val="1678C329"/>
    <w:rsid w:val="1678E2CB"/>
    <w:rsid w:val="167ED7EF"/>
    <w:rsid w:val="1681C740"/>
    <w:rsid w:val="169EBDE7"/>
    <w:rsid w:val="16ADCAE7"/>
    <w:rsid w:val="16B7F715"/>
    <w:rsid w:val="16C400B4"/>
    <w:rsid w:val="16C778AB"/>
    <w:rsid w:val="16DE6609"/>
    <w:rsid w:val="16E8A3EC"/>
    <w:rsid w:val="16E8DD18"/>
    <w:rsid w:val="16E9F3A1"/>
    <w:rsid w:val="16F0B10F"/>
    <w:rsid w:val="16F2A2FC"/>
    <w:rsid w:val="170EF863"/>
    <w:rsid w:val="1735307A"/>
    <w:rsid w:val="1744CE1B"/>
    <w:rsid w:val="17478743"/>
    <w:rsid w:val="175071B0"/>
    <w:rsid w:val="176505E0"/>
    <w:rsid w:val="179D6859"/>
    <w:rsid w:val="17A2EE41"/>
    <w:rsid w:val="17B7B3BD"/>
    <w:rsid w:val="17DD8371"/>
    <w:rsid w:val="180C8BCF"/>
    <w:rsid w:val="181F0435"/>
    <w:rsid w:val="182AC566"/>
    <w:rsid w:val="183BB807"/>
    <w:rsid w:val="185DFA19"/>
    <w:rsid w:val="186A1B80"/>
    <w:rsid w:val="188C8170"/>
    <w:rsid w:val="1893008B"/>
    <w:rsid w:val="18A72C5F"/>
    <w:rsid w:val="18BDA8B7"/>
    <w:rsid w:val="18DC5B47"/>
    <w:rsid w:val="18E839A7"/>
    <w:rsid w:val="18EE13C5"/>
    <w:rsid w:val="18F40994"/>
    <w:rsid w:val="18F7A301"/>
    <w:rsid w:val="18FDFF4C"/>
    <w:rsid w:val="190A87D4"/>
    <w:rsid w:val="190D33A8"/>
    <w:rsid w:val="1923CF03"/>
    <w:rsid w:val="19285CEE"/>
    <w:rsid w:val="192BF35B"/>
    <w:rsid w:val="193A907D"/>
    <w:rsid w:val="194F1567"/>
    <w:rsid w:val="1953A537"/>
    <w:rsid w:val="195CAC78"/>
    <w:rsid w:val="19620C58"/>
    <w:rsid w:val="1963E1E8"/>
    <w:rsid w:val="196D70DA"/>
    <w:rsid w:val="197640E5"/>
    <w:rsid w:val="1979C0C6"/>
    <w:rsid w:val="197CD5DC"/>
    <w:rsid w:val="1991E140"/>
    <w:rsid w:val="19936C15"/>
    <w:rsid w:val="19A181EC"/>
    <w:rsid w:val="19A19955"/>
    <w:rsid w:val="19A7FB65"/>
    <w:rsid w:val="19B0098E"/>
    <w:rsid w:val="19BAA696"/>
    <w:rsid w:val="19BDB7C7"/>
    <w:rsid w:val="19DEF3DB"/>
    <w:rsid w:val="19E6A3DC"/>
    <w:rsid w:val="19F31D73"/>
    <w:rsid w:val="19F3AA65"/>
    <w:rsid w:val="19FB51AE"/>
    <w:rsid w:val="1A132231"/>
    <w:rsid w:val="1A2645C6"/>
    <w:rsid w:val="1A3199CC"/>
    <w:rsid w:val="1A43F707"/>
    <w:rsid w:val="1A80D5E3"/>
    <w:rsid w:val="1A823154"/>
    <w:rsid w:val="1A8769FF"/>
    <w:rsid w:val="1A9C5076"/>
    <w:rsid w:val="1AD471A3"/>
    <w:rsid w:val="1AD69CE2"/>
    <w:rsid w:val="1AD90FC2"/>
    <w:rsid w:val="1AEEACF2"/>
    <w:rsid w:val="1B1037E2"/>
    <w:rsid w:val="1B148944"/>
    <w:rsid w:val="1B246FB1"/>
    <w:rsid w:val="1B2CB5EF"/>
    <w:rsid w:val="1B3BDDD3"/>
    <w:rsid w:val="1B3BE33C"/>
    <w:rsid w:val="1B51C300"/>
    <w:rsid w:val="1B5BDA7C"/>
    <w:rsid w:val="1B61DF38"/>
    <w:rsid w:val="1B6F39CE"/>
    <w:rsid w:val="1B782CA3"/>
    <w:rsid w:val="1B908CFD"/>
    <w:rsid w:val="1BAAF9D5"/>
    <w:rsid w:val="1BBDB904"/>
    <w:rsid w:val="1BDB4B05"/>
    <w:rsid w:val="1BE2E4EB"/>
    <w:rsid w:val="1BF00FC8"/>
    <w:rsid w:val="1BF06DC5"/>
    <w:rsid w:val="1BFFB355"/>
    <w:rsid w:val="1C03B5FB"/>
    <w:rsid w:val="1C0D3339"/>
    <w:rsid w:val="1C0DB8FF"/>
    <w:rsid w:val="1C12930B"/>
    <w:rsid w:val="1C1CCF65"/>
    <w:rsid w:val="1C21AF83"/>
    <w:rsid w:val="1C260720"/>
    <w:rsid w:val="1C366063"/>
    <w:rsid w:val="1C3792BA"/>
    <w:rsid w:val="1C4EC1DE"/>
    <w:rsid w:val="1C51B468"/>
    <w:rsid w:val="1C668436"/>
    <w:rsid w:val="1C66A672"/>
    <w:rsid w:val="1C6E4B85"/>
    <w:rsid w:val="1C769AF8"/>
    <w:rsid w:val="1C89AB74"/>
    <w:rsid w:val="1C979FD1"/>
    <w:rsid w:val="1CAB48D0"/>
    <w:rsid w:val="1CAB4F8B"/>
    <w:rsid w:val="1CB0A8A4"/>
    <w:rsid w:val="1CB4FC44"/>
    <w:rsid w:val="1CBE85D7"/>
    <w:rsid w:val="1CC06316"/>
    <w:rsid w:val="1CC1BD37"/>
    <w:rsid w:val="1CDD1820"/>
    <w:rsid w:val="1CF2E54B"/>
    <w:rsid w:val="1CF4DAC1"/>
    <w:rsid w:val="1CFFCF9A"/>
    <w:rsid w:val="1D048BC3"/>
    <w:rsid w:val="1D13E4A7"/>
    <w:rsid w:val="1D1BD1F3"/>
    <w:rsid w:val="1D23AC27"/>
    <w:rsid w:val="1D35EFE6"/>
    <w:rsid w:val="1D467BE4"/>
    <w:rsid w:val="1D4C434F"/>
    <w:rsid w:val="1D50A9A9"/>
    <w:rsid w:val="1D5DE2D5"/>
    <w:rsid w:val="1D5F143A"/>
    <w:rsid w:val="1D6A10A5"/>
    <w:rsid w:val="1D87F196"/>
    <w:rsid w:val="1D882467"/>
    <w:rsid w:val="1DA772E7"/>
    <w:rsid w:val="1DAD89C0"/>
    <w:rsid w:val="1DBA6893"/>
    <w:rsid w:val="1DE3018B"/>
    <w:rsid w:val="1DFA9F21"/>
    <w:rsid w:val="1DFDC3BF"/>
    <w:rsid w:val="1DFF72C9"/>
    <w:rsid w:val="1E07BFF7"/>
    <w:rsid w:val="1E1786BE"/>
    <w:rsid w:val="1E3CCE4A"/>
    <w:rsid w:val="1E4317CC"/>
    <w:rsid w:val="1E53E6AE"/>
    <w:rsid w:val="1E61FF65"/>
    <w:rsid w:val="1E69ECEB"/>
    <w:rsid w:val="1E84AB5E"/>
    <w:rsid w:val="1E93B115"/>
    <w:rsid w:val="1E96B540"/>
    <w:rsid w:val="1E9BC9C6"/>
    <w:rsid w:val="1EB271C7"/>
    <w:rsid w:val="1EB8DCCC"/>
    <w:rsid w:val="1ECA4456"/>
    <w:rsid w:val="1EF38242"/>
    <w:rsid w:val="1F00DA6D"/>
    <w:rsid w:val="1F166D04"/>
    <w:rsid w:val="1F1DF4E8"/>
    <w:rsid w:val="1F2DEF4F"/>
    <w:rsid w:val="1F37E3C6"/>
    <w:rsid w:val="1F3C747E"/>
    <w:rsid w:val="1F4E192B"/>
    <w:rsid w:val="1F5FC859"/>
    <w:rsid w:val="1F6649F3"/>
    <w:rsid w:val="1F6939F0"/>
    <w:rsid w:val="1F74CABA"/>
    <w:rsid w:val="1F8C1554"/>
    <w:rsid w:val="1FACD558"/>
    <w:rsid w:val="1FE289AE"/>
    <w:rsid w:val="20059C70"/>
    <w:rsid w:val="20062976"/>
    <w:rsid w:val="20219CA9"/>
    <w:rsid w:val="2036B657"/>
    <w:rsid w:val="20570209"/>
    <w:rsid w:val="2079852D"/>
    <w:rsid w:val="2088D0B4"/>
    <w:rsid w:val="208AE768"/>
    <w:rsid w:val="20949332"/>
    <w:rsid w:val="20A0DF6D"/>
    <w:rsid w:val="20CBAA9C"/>
    <w:rsid w:val="20D51DB1"/>
    <w:rsid w:val="20DFD25F"/>
    <w:rsid w:val="20E9BB5E"/>
    <w:rsid w:val="20F43960"/>
    <w:rsid w:val="20F4E5B7"/>
    <w:rsid w:val="20FCBA9B"/>
    <w:rsid w:val="210EFE0F"/>
    <w:rsid w:val="211928B5"/>
    <w:rsid w:val="2123A5F1"/>
    <w:rsid w:val="213E8D24"/>
    <w:rsid w:val="215F8D33"/>
    <w:rsid w:val="21643AEC"/>
    <w:rsid w:val="218693C3"/>
    <w:rsid w:val="21AC4DBB"/>
    <w:rsid w:val="21B69E0A"/>
    <w:rsid w:val="21B9CC7A"/>
    <w:rsid w:val="21D4674F"/>
    <w:rsid w:val="21E075FC"/>
    <w:rsid w:val="21E1E664"/>
    <w:rsid w:val="21E1F74D"/>
    <w:rsid w:val="2234458D"/>
    <w:rsid w:val="2255AE06"/>
    <w:rsid w:val="22602131"/>
    <w:rsid w:val="22677AFD"/>
    <w:rsid w:val="2269654D"/>
    <w:rsid w:val="226C6A05"/>
    <w:rsid w:val="228374AE"/>
    <w:rsid w:val="2287286D"/>
    <w:rsid w:val="228E613F"/>
    <w:rsid w:val="22A3E453"/>
    <w:rsid w:val="22A5DB33"/>
    <w:rsid w:val="22A680C6"/>
    <w:rsid w:val="22B616D7"/>
    <w:rsid w:val="22B73EF0"/>
    <w:rsid w:val="22B9A943"/>
    <w:rsid w:val="22CE1093"/>
    <w:rsid w:val="22D96FCA"/>
    <w:rsid w:val="22DDB784"/>
    <w:rsid w:val="22F57B58"/>
    <w:rsid w:val="22F8C12E"/>
    <w:rsid w:val="2313EE79"/>
    <w:rsid w:val="231FFD1B"/>
    <w:rsid w:val="23570F53"/>
    <w:rsid w:val="236C37EE"/>
    <w:rsid w:val="236DB134"/>
    <w:rsid w:val="237037B0"/>
    <w:rsid w:val="2373E56F"/>
    <w:rsid w:val="237605D6"/>
    <w:rsid w:val="23A9EAF9"/>
    <w:rsid w:val="23AAF1C9"/>
    <w:rsid w:val="23AE6F2F"/>
    <w:rsid w:val="23C9284A"/>
    <w:rsid w:val="23CBB8AF"/>
    <w:rsid w:val="23FA5F6D"/>
    <w:rsid w:val="24046C46"/>
    <w:rsid w:val="2408B488"/>
    <w:rsid w:val="245C4F9B"/>
    <w:rsid w:val="24639F9F"/>
    <w:rsid w:val="2465664D"/>
    <w:rsid w:val="2466E7AE"/>
    <w:rsid w:val="24B4AA3F"/>
    <w:rsid w:val="24B5EAEE"/>
    <w:rsid w:val="24CAC620"/>
    <w:rsid w:val="24D4E4AA"/>
    <w:rsid w:val="24F23AEC"/>
    <w:rsid w:val="24F547E9"/>
    <w:rsid w:val="24F8BD94"/>
    <w:rsid w:val="24FD0C16"/>
    <w:rsid w:val="250EF3C1"/>
    <w:rsid w:val="2520E902"/>
    <w:rsid w:val="25280C3F"/>
    <w:rsid w:val="25281E50"/>
    <w:rsid w:val="256C11D5"/>
    <w:rsid w:val="2572DD14"/>
    <w:rsid w:val="2586924C"/>
    <w:rsid w:val="25A04CF4"/>
    <w:rsid w:val="25A7FA14"/>
    <w:rsid w:val="25AD57E4"/>
    <w:rsid w:val="25B70724"/>
    <w:rsid w:val="25C38F2B"/>
    <w:rsid w:val="25EDCE23"/>
    <w:rsid w:val="25EF8F30"/>
    <w:rsid w:val="260600D4"/>
    <w:rsid w:val="262D1C1A"/>
    <w:rsid w:val="2639E2B1"/>
    <w:rsid w:val="263DC44A"/>
    <w:rsid w:val="269B0257"/>
    <w:rsid w:val="26ADFF90"/>
    <w:rsid w:val="26D989B2"/>
    <w:rsid w:val="2713EC19"/>
    <w:rsid w:val="27197291"/>
    <w:rsid w:val="272BBC4F"/>
    <w:rsid w:val="27485316"/>
    <w:rsid w:val="27592B10"/>
    <w:rsid w:val="276C42E7"/>
    <w:rsid w:val="277D72FD"/>
    <w:rsid w:val="27B238B6"/>
    <w:rsid w:val="27BEB607"/>
    <w:rsid w:val="27BF69B0"/>
    <w:rsid w:val="27C8E06B"/>
    <w:rsid w:val="27D26407"/>
    <w:rsid w:val="28054D56"/>
    <w:rsid w:val="2818D2AD"/>
    <w:rsid w:val="281AD532"/>
    <w:rsid w:val="28408F37"/>
    <w:rsid w:val="2845AE8D"/>
    <w:rsid w:val="28505E9A"/>
    <w:rsid w:val="2855A544"/>
    <w:rsid w:val="285D0761"/>
    <w:rsid w:val="28681407"/>
    <w:rsid w:val="2870F9E9"/>
    <w:rsid w:val="28714D7A"/>
    <w:rsid w:val="28726C1E"/>
    <w:rsid w:val="287B46CD"/>
    <w:rsid w:val="289137BE"/>
    <w:rsid w:val="28922D60"/>
    <w:rsid w:val="28940A0F"/>
    <w:rsid w:val="28A6FDCD"/>
    <w:rsid w:val="28B4C0D3"/>
    <w:rsid w:val="28BD0FAC"/>
    <w:rsid w:val="28C42541"/>
    <w:rsid w:val="28EEE7BB"/>
    <w:rsid w:val="28F99AF8"/>
    <w:rsid w:val="290CFA47"/>
    <w:rsid w:val="29218F53"/>
    <w:rsid w:val="2934477C"/>
    <w:rsid w:val="29450C7D"/>
    <w:rsid w:val="294FC068"/>
    <w:rsid w:val="295C413D"/>
    <w:rsid w:val="295DB065"/>
    <w:rsid w:val="29689A11"/>
    <w:rsid w:val="2969C90F"/>
    <w:rsid w:val="29717287"/>
    <w:rsid w:val="297E0469"/>
    <w:rsid w:val="2980937E"/>
    <w:rsid w:val="2982A481"/>
    <w:rsid w:val="29984CD6"/>
    <w:rsid w:val="299D08DF"/>
    <w:rsid w:val="29A1382C"/>
    <w:rsid w:val="29A6E1EE"/>
    <w:rsid w:val="29C27989"/>
    <w:rsid w:val="29CC8BC2"/>
    <w:rsid w:val="29E1FCDD"/>
    <w:rsid w:val="29E7E9FB"/>
    <w:rsid w:val="2A0F635F"/>
    <w:rsid w:val="2A1F8571"/>
    <w:rsid w:val="2A39035B"/>
    <w:rsid w:val="2A63D332"/>
    <w:rsid w:val="2A6C0444"/>
    <w:rsid w:val="2A7A3E68"/>
    <w:rsid w:val="2A879153"/>
    <w:rsid w:val="2AA27B00"/>
    <w:rsid w:val="2AA8480F"/>
    <w:rsid w:val="2ABB6740"/>
    <w:rsid w:val="2AC35D17"/>
    <w:rsid w:val="2ADF29BB"/>
    <w:rsid w:val="2AF296E7"/>
    <w:rsid w:val="2AF57846"/>
    <w:rsid w:val="2AF75FB1"/>
    <w:rsid w:val="2AF9D16F"/>
    <w:rsid w:val="2B12DCF6"/>
    <w:rsid w:val="2B152F73"/>
    <w:rsid w:val="2B27DAD1"/>
    <w:rsid w:val="2B5A2EF4"/>
    <w:rsid w:val="2B622138"/>
    <w:rsid w:val="2B69DECD"/>
    <w:rsid w:val="2B6D1E2D"/>
    <w:rsid w:val="2B8170B3"/>
    <w:rsid w:val="2BAE6E35"/>
    <w:rsid w:val="2BB46566"/>
    <w:rsid w:val="2BBFABD4"/>
    <w:rsid w:val="2BE8B7FB"/>
    <w:rsid w:val="2BE93A43"/>
    <w:rsid w:val="2BEAB687"/>
    <w:rsid w:val="2BF5D14C"/>
    <w:rsid w:val="2BFAC9E4"/>
    <w:rsid w:val="2C01ED26"/>
    <w:rsid w:val="2C345C51"/>
    <w:rsid w:val="2C45DB28"/>
    <w:rsid w:val="2C7359B9"/>
    <w:rsid w:val="2C8C3FA6"/>
    <w:rsid w:val="2CCB625F"/>
    <w:rsid w:val="2CCDBE9E"/>
    <w:rsid w:val="2CD13695"/>
    <w:rsid w:val="2CDA6475"/>
    <w:rsid w:val="2CEF0657"/>
    <w:rsid w:val="2CF52D75"/>
    <w:rsid w:val="2D0CB6FF"/>
    <w:rsid w:val="2D0DAC6F"/>
    <w:rsid w:val="2D1B3D9F"/>
    <w:rsid w:val="2D31191D"/>
    <w:rsid w:val="2D36760B"/>
    <w:rsid w:val="2D38BBCC"/>
    <w:rsid w:val="2D3AFBFD"/>
    <w:rsid w:val="2D4DF48D"/>
    <w:rsid w:val="2D5E169F"/>
    <w:rsid w:val="2D6EA45E"/>
    <w:rsid w:val="2D6EA9CA"/>
    <w:rsid w:val="2D84F49B"/>
    <w:rsid w:val="2D96FA3E"/>
    <w:rsid w:val="2DA98824"/>
    <w:rsid w:val="2DC11F0A"/>
    <w:rsid w:val="2DC871FD"/>
    <w:rsid w:val="2DE69FF1"/>
    <w:rsid w:val="2DF8C732"/>
    <w:rsid w:val="2DFB5E17"/>
    <w:rsid w:val="2DFE0861"/>
    <w:rsid w:val="2E0D68EC"/>
    <w:rsid w:val="2E689837"/>
    <w:rsid w:val="2E7603B8"/>
    <w:rsid w:val="2E8010B5"/>
    <w:rsid w:val="2E81BB3D"/>
    <w:rsid w:val="2E899F6E"/>
    <w:rsid w:val="2E89F50A"/>
    <w:rsid w:val="2E8E7E54"/>
    <w:rsid w:val="2EE6173D"/>
    <w:rsid w:val="2EFDAF54"/>
    <w:rsid w:val="2F0952B6"/>
    <w:rsid w:val="2F0AF001"/>
    <w:rsid w:val="2F29D6F6"/>
    <w:rsid w:val="2F4FF18D"/>
    <w:rsid w:val="2F6568D0"/>
    <w:rsid w:val="2F6A6F08"/>
    <w:rsid w:val="2F7DF554"/>
    <w:rsid w:val="2F894630"/>
    <w:rsid w:val="2F92A1A1"/>
    <w:rsid w:val="2F9DAF7E"/>
    <w:rsid w:val="2FB13707"/>
    <w:rsid w:val="2FDFC99B"/>
    <w:rsid w:val="2FEB4F46"/>
    <w:rsid w:val="2FF5528B"/>
    <w:rsid w:val="302ACAAD"/>
    <w:rsid w:val="302B35A4"/>
    <w:rsid w:val="3045153E"/>
    <w:rsid w:val="3054F5A3"/>
    <w:rsid w:val="3069DF23"/>
    <w:rsid w:val="307623B8"/>
    <w:rsid w:val="3093DA61"/>
    <w:rsid w:val="30A0F053"/>
    <w:rsid w:val="30B56858"/>
    <w:rsid w:val="30B8217E"/>
    <w:rsid w:val="30BD7227"/>
    <w:rsid w:val="30C6B323"/>
    <w:rsid w:val="30E04447"/>
    <w:rsid w:val="30E85D57"/>
    <w:rsid w:val="30EAAA03"/>
    <w:rsid w:val="30FA0863"/>
    <w:rsid w:val="310FECD0"/>
    <w:rsid w:val="311A263B"/>
    <w:rsid w:val="3125ED20"/>
    <w:rsid w:val="31490376"/>
    <w:rsid w:val="314A6282"/>
    <w:rsid w:val="315CD9E9"/>
    <w:rsid w:val="315E1069"/>
    <w:rsid w:val="31670623"/>
    <w:rsid w:val="316DB4C5"/>
    <w:rsid w:val="319707BC"/>
    <w:rsid w:val="31A0FDEB"/>
    <w:rsid w:val="31B3983C"/>
    <w:rsid w:val="31B8321A"/>
    <w:rsid w:val="31C47A50"/>
    <w:rsid w:val="31E20B8F"/>
    <w:rsid w:val="32046383"/>
    <w:rsid w:val="3217DC2F"/>
    <w:rsid w:val="3220E67E"/>
    <w:rsid w:val="322EEA90"/>
    <w:rsid w:val="32432EA0"/>
    <w:rsid w:val="32477DA6"/>
    <w:rsid w:val="3258C173"/>
    <w:rsid w:val="328DDD7F"/>
    <w:rsid w:val="329EB6D6"/>
    <w:rsid w:val="32A4681E"/>
    <w:rsid w:val="32AE380E"/>
    <w:rsid w:val="32C36CDC"/>
    <w:rsid w:val="32D66B37"/>
    <w:rsid w:val="32E13BEE"/>
    <w:rsid w:val="33253986"/>
    <w:rsid w:val="3336B541"/>
    <w:rsid w:val="333EC423"/>
    <w:rsid w:val="334CB891"/>
    <w:rsid w:val="3353CA9F"/>
    <w:rsid w:val="3363FE6C"/>
    <w:rsid w:val="336D331D"/>
    <w:rsid w:val="337367D0"/>
    <w:rsid w:val="3389495C"/>
    <w:rsid w:val="338E0C00"/>
    <w:rsid w:val="339530BD"/>
    <w:rsid w:val="33B28F87"/>
    <w:rsid w:val="33B9801A"/>
    <w:rsid w:val="33C231EF"/>
    <w:rsid w:val="33C2A92B"/>
    <w:rsid w:val="33C4267D"/>
    <w:rsid w:val="33D02DAE"/>
    <w:rsid w:val="33D23123"/>
    <w:rsid w:val="33F5041C"/>
    <w:rsid w:val="3405F6A3"/>
    <w:rsid w:val="340E1AAE"/>
    <w:rsid w:val="341DB3D7"/>
    <w:rsid w:val="344DADC4"/>
    <w:rsid w:val="346345B9"/>
    <w:rsid w:val="3476F739"/>
    <w:rsid w:val="3478AF31"/>
    <w:rsid w:val="34954C84"/>
    <w:rsid w:val="349EFCF3"/>
    <w:rsid w:val="34A2F130"/>
    <w:rsid w:val="34AFEDB8"/>
    <w:rsid w:val="34B49B04"/>
    <w:rsid w:val="34C51BF0"/>
    <w:rsid w:val="34E91D86"/>
    <w:rsid w:val="34FFB911"/>
    <w:rsid w:val="3504D599"/>
    <w:rsid w:val="350740F5"/>
    <w:rsid w:val="35080C13"/>
    <w:rsid w:val="350884A8"/>
    <w:rsid w:val="350F3831"/>
    <w:rsid w:val="35285F93"/>
    <w:rsid w:val="353D2039"/>
    <w:rsid w:val="355E0250"/>
    <w:rsid w:val="356C1AF8"/>
    <w:rsid w:val="356F5D45"/>
    <w:rsid w:val="35752A06"/>
    <w:rsid w:val="358790BB"/>
    <w:rsid w:val="358B048E"/>
    <w:rsid w:val="35AA5351"/>
    <w:rsid w:val="35C60B64"/>
    <w:rsid w:val="35CBA5A2"/>
    <w:rsid w:val="35DF1B35"/>
    <w:rsid w:val="35E16C30"/>
    <w:rsid w:val="35EBF357"/>
    <w:rsid w:val="360F5A5A"/>
    <w:rsid w:val="361901B5"/>
    <w:rsid w:val="3635F633"/>
    <w:rsid w:val="36406B4C"/>
    <w:rsid w:val="3656E019"/>
    <w:rsid w:val="366FA40B"/>
    <w:rsid w:val="367A9531"/>
    <w:rsid w:val="368A4DB9"/>
    <w:rsid w:val="368CEA1F"/>
    <w:rsid w:val="36956F00"/>
    <w:rsid w:val="36960005"/>
    <w:rsid w:val="36A0A5FA"/>
    <w:rsid w:val="36C7416C"/>
    <w:rsid w:val="36D07581"/>
    <w:rsid w:val="36D720E6"/>
    <w:rsid w:val="36F2FCDF"/>
    <w:rsid w:val="36FEC193"/>
    <w:rsid w:val="3707EB59"/>
    <w:rsid w:val="370E87B1"/>
    <w:rsid w:val="3722E69F"/>
    <w:rsid w:val="3729EC06"/>
    <w:rsid w:val="37329816"/>
    <w:rsid w:val="373B39D8"/>
    <w:rsid w:val="3761DBC5"/>
    <w:rsid w:val="37694B1D"/>
    <w:rsid w:val="37875EDF"/>
    <w:rsid w:val="378EBB4A"/>
    <w:rsid w:val="379ECB85"/>
    <w:rsid w:val="37D00A76"/>
    <w:rsid w:val="37D54B41"/>
    <w:rsid w:val="37E5E658"/>
    <w:rsid w:val="37E9363A"/>
    <w:rsid w:val="37E9CDB2"/>
    <w:rsid w:val="3803172C"/>
    <w:rsid w:val="380A2DD2"/>
    <w:rsid w:val="380D69C5"/>
    <w:rsid w:val="381397AC"/>
    <w:rsid w:val="382650D2"/>
    <w:rsid w:val="383FB7CE"/>
    <w:rsid w:val="38459F52"/>
    <w:rsid w:val="3846BE4F"/>
    <w:rsid w:val="3860FCB3"/>
    <w:rsid w:val="386B45E5"/>
    <w:rsid w:val="3870CCB3"/>
    <w:rsid w:val="38851290"/>
    <w:rsid w:val="38ACEB02"/>
    <w:rsid w:val="38AE4688"/>
    <w:rsid w:val="38AFBFFE"/>
    <w:rsid w:val="38C3672D"/>
    <w:rsid w:val="38DF97EF"/>
    <w:rsid w:val="38F7CDCC"/>
    <w:rsid w:val="38FCBD83"/>
    <w:rsid w:val="390372B3"/>
    <w:rsid w:val="390E5D01"/>
    <w:rsid w:val="390EBD97"/>
    <w:rsid w:val="394262F2"/>
    <w:rsid w:val="394BC575"/>
    <w:rsid w:val="394E1556"/>
    <w:rsid w:val="394EC70C"/>
    <w:rsid w:val="396135C3"/>
    <w:rsid w:val="39664E98"/>
    <w:rsid w:val="398C6338"/>
    <w:rsid w:val="39AD81C5"/>
    <w:rsid w:val="39B6EF0A"/>
    <w:rsid w:val="39C64411"/>
    <w:rsid w:val="39E1D473"/>
    <w:rsid w:val="39F8F34A"/>
    <w:rsid w:val="39FCA426"/>
    <w:rsid w:val="3A0930BA"/>
    <w:rsid w:val="3A0FF17D"/>
    <w:rsid w:val="3A2E01CD"/>
    <w:rsid w:val="3A33058E"/>
    <w:rsid w:val="3A451EA5"/>
    <w:rsid w:val="3A48BB63"/>
    <w:rsid w:val="3A49C4DD"/>
    <w:rsid w:val="3A4C73B8"/>
    <w:rsid w:val="3A4D653F"/>
    <w:rsid w:val="3A6263B8"/>
    <w:rsid w:val="3A769A27"/>
    <w:rsid w:val="3A7D4E2D"/>
    <w:rsid w:val="3A83EE76"/>
    <w:rsid w:val="3A96E422"/>
    <w:rsid w:val="3AB6864F"/>
    <w:rsid w:val="3ACC93F1"/>
    <w:rsid w:val="3AD36C3E"/>
    <w:rsid w:val="3ADDEB06"/>
    <w:rsid w:val="3ADF89DA"/>
    <w:rsid w:val="3AEDDD34"/>
    <w:rsid w:val="3B0391E9"/>
    <w:rsid w:val="3B07AB38"/>
    <w:rsid w:val="3B3FE62B"/>
    <w:rsid w:val="3B46437B"/>
    <w:rsid w:val="3B4ACB77"/>
    <w:rsid w:val="3B4C8C0E"/>
    <w:rsid w:val="3B5DBEDC"/>
    <w:rsid w:val="3B6172D1"/>
    <w:rsid w:val="3B6977B8"/>
    <w:rsid w:val="3B6C3458"/>
    <w:rsid w:val="3B7E48FC"/>
    <w:rsid w:val="3B94C3AB"/>
    <w:rsid w:val="3B99BAFA"/>
    <w:rsid w:val="3BA304C4"/>
    <w:rsid w:val="3BB46AEE"/>
    <w:rsid w:val="3BC2341F"/>
    <w:rsid w:val="3BC4F334"/>
    <w:rsid w:val="3BCBC27A"/>
    <w:rsid w:val="3BD6A1B7"/>
    <w:rsid w:val="3BF56654"/>
    <w:rsid w:val="3BF97591"/>
    <w:rsid w:val="3BFB75D3"/>
    <w:rsid w:val="3C0862E4"/>
    <w:rsid w:val="3C1FDC5A"/>
    <w:rsid w:val="3C21BEC9"/>
    <w:rsid w:val="3C2D9FAF"/>
    <w:rsid w:val="3C3F0466"/>
    <w:rsid w:val="3C3F1477"/>
    <w:rsid w:val="3C4C13B2"/>
    <w:rsid w:val="3C848943"/>
    <w:rsid w:val="3C95992C"/>
    <w:rsid w:val="3C979026"/>
    <w:rsid w:val="3CAAF32E"/>
    <w:rsid w:val="3CB8E3BB"/>
    <w:rsid w:val="3CBD45FB"/>
    <w:rsid w:val="3CF98F24"/>
    <w:rsid w:val="3CFC847C"/>
    <w:rsid w:val="3D047DD0"/>
    <w:rsid w:val="3D0C482F"/>
    <w:rsid w:val="3D18390C"/>
    <w:rsid w:val="3D1D5A93"/>
    <w:rsid w:val="3D26D58E"/>
    <w:rsid w:val="3D368762"/>
    <w:rsid w:val="3D482467"/>
    <w:rsid w:val="3D57A2DD"/>
    <w:rsid w:val="3D6C0EAB"/>
    <w:rsid w:val="3D6F4A9E"/>
    <w:rsid w:val="3D783691"/>
    <w:rsid w:val="3D87428D"/>
    <w:rsid w:val="3D9E56D5"/>
    <w:rsid w:val="3DC0E484"/>
    <w:rsid w:val="3DC41B08"/>
    <w:rsid w:val="3DE564AA"/>
    <w:rsid w:val="3DE71181"/>
    <w:rsid w:val="3DE7F542"/>
    <w:rsid w:val="3DEAC9CD"/>
    <w:rsid w:val="3DED5230"/>
    <w:rsid w:val="3DF4DC59"/>
    <w:rsid w:val="3DFCF957"/>
    <w:rsid w:val="3DFD84BE"/>
    <w:rsid w:val="3E13E270"/>
    <w:rsid w:val="3E1B9CDF"/>
    <w:rsid w:val="3E3A6254"/>
    <w:rsid w:val="3E59D884"/>
    <w:rsid w:val="3E612953"/>
    <w:rsid w:val="3E6B5F3A"/>
    <w:rsid w:val="3E7B0B64"/>
    <w:rsid w:val="3E7B28D1"/>
    <w:rsid w:val="3E9D9BE2"/>
    <w:rsid w:val="3EAFF075"/>
    <w:rsid w:val="3EC98830"/>
    <w:rsid w:val="3ECA9E05"/>
    <w:rsid w:val="3EE3B822"/>
    <w:rsid w:val="3EEA0AFB"/>
    <w:rsid w:val="3EEC0BB0"/>
    <w:rsid w:val="3F00638A"/>
    <w:rsid w:val="3F15C744"/>
    <w:rsid w:val="3F2CE9DE"/>
    <w:rsid w:val="3F2E4CF7"/>
    <w:rsid w:val="3F37324B"/>
    <w:rsid w:val="3F3E0566"/>
    <w:rsid w:val="3F4E4FEC"/>
    <w:rsid w:val="3F4FD7B5"/>
    <w:rsid w:val="3F64014D"/>
    <w:rsid w:val="3F680677"/>
    <w:rsid w:val="3F86FCCE"/>
    <w:rsid w:val="3F9346DB"/>
    <w:rsid w:val="3F9A56D4"/>
    <w:rsid w:val="3FBBFA24"/>
    <w:rsid w:val="3FD42A5A"/>
    <w:rsid w:val="3FD69D6A"/>
    <w:rsid w:val="3FDCC488"/>
    <w:rsid w:val="3FEDCA62"/>
    <w:rsid w:val="3FFE5B35"/>
    <w:rsid w:val="40095A7F"/>
    <w:rsid w:val="401BC72A"/>
    <w:rsid w:val="4022F406"/>
    <w:rsid w:val="40461B39"/>
    <w:rsid w:val="405640DD"/>
    <w:rsid w:val="40683DA6"/>
    <w:rsid w:val="406C08A1"/>
    <w:rsid w:val="40867885"/>
    <w:rsid w:val="408B8DFB"/>
    <w:rsid w:val="4093A1CD"/>
    <w:rsid w:val="40A72EDB"/>
    <w:rsid w:val="40C2C74A"/>
    <w:rsid w:val="40D9A849"/>
    <w:rsid w:val="40E21F8B"/>
    <w:rsid w:val="40E7B69F"/>
    <w:rsid w:val="40E90F17"/>
    <w:rsid w:val="40F0AC12"/>
    <w:rsid w:val="40F988EE"/>
    <w:rsid w:val="40FE3727"/>
    <w:rsid w:val="4110277A"/>
    <w:rsid w:val="41175BA8"/>
    <w:rsid w:val="411A1962"/>
    <w:rsid w:val="4149F2A1"/>
    <w:rsid w:val="415AC8D1"/>
    <w:rsid w:val="4169A2BD"/>
    <w:rsid w:val="417F69FE"/>
    <w:rsid w:val="4184CCFA"/>
    <w:rsid w:val="41BBD576"/>
    <w:rsid w:val="41BC9A6A"/>
    <w:rsid w:val="41C9C3E9"/>
    <w:rsid w:val="41CC25CA"/>
    <w:rsid w:val="41E4551C"/>
    <w:rsid w:val="41E8F2DF"/>
    <w:rsid w:val="41EF8314"/>
    <w:rsid w:val="41F275E5"/>
    <w:rsid w:val="41F49846"/>
    <w:rsid w:val="4206E29B"/>
    <w:rsid w:val="421007F6"/>
    <w:rsid w:val="42127823"/>
    <w:rsid w:val="4224EF16"/>
    <w:rsid w:val="424C3811"/>
    <w:rsid w:val="426F04BF"/>
    <w:rsid w:val="42A329F3"/>
    <w:rsid w:val="42B4FE8A"/>
    <w:rsid w:val="42B5E9C3"/>
    <w:rsid w:val="42B7B3FF"/>
    <w:rsid w:val="42DF046C"/>
    <w:rsid w:val="43022C50"/>
    <w:rsid w:val="4323C985"/>
    <w:rsid w:val="4357BFDF"/>
    <w:rsid w:val="435D2C14"/>
    <w:rsid w:val="436C5764"/>
    <w:rsid w:val="4382B21F"/>
    <w:rsid w:val="43BE690D"/>
    <w:rsid w:val="43C2ED4E"/>
    <w:rsid w:val="43C49214"/>
    <w:rsid w:val="43CF0C6C"/>
    <w:rsid w:val="43D9206F"/>
    <w:rsid w:val="43E0799D"/>
    <w:rsid w:val="44018B49"/>
    <w:rsid w:val="442ADD85"/>
    <w:rsid w:val="44330C7B"/>
    <w:rsid w:val="4455F6A7"/>
    <w:rsid w:val="44618B32"/>
    <w:rsid w:val="446B3EBC"/>
    <w:rsid w:val="4475BBF8"/>
    <w:rsid w:val="447C79AC"/>
    <w:rsid w:val="447D827B"/>
    <w:rsid w:val="44833829"/>
    <w:rsid w:val="4490AE67"/>
    <w:rsid w:val="44933019"/>
    <w:rsid w:val="44B2F04F"/>
    <w:rsid w:val="44C65781"/>
    <w:rsid w:val="44E0D3BD"/>
    <w:rsid w:val="45028C9E"/>
    <w:rsid w:val="45085517"/>
    <w:rsid w:val="450DFA15"/>
    <w:rsid w:val="4510F89C"/>
    <w:rsid w:val="451ABFEE"/>
    <w:rsid w:val="451AF963"/>
    <w:rsid w:val="451C02FE"/>
    <w:rsid w:val="451F462B"/>
    <w:rsid w:val="45255BFB"/>
    <w:rsid w:val="453A7308"/>
    <w:rsid w:val="4557A0C6"/>
    <w:rsid w:val="455A1A6A"/>
    <w:rsid w:val="4560F9ED"/>
    <w:rsid w:val="45626CDA"/>
    <w:rsid w:val="457167F3"/>
    <w:rsid w:val="457F3BCE"/>
    <w:rsid w:val="45AD9637"/>
    <w:rsid w:val="45EAEB71"/>
    <w:rsid w:val="45EB088E"/>
    <w:rsid w:val="45ECEA70"/>
    <w:rsid w:val="45F22CAA"/>
    <w:rsid w:val="4607870B"/>
    <w:rsid w:val="460A7CED"/>
    <w:rsid w:val="46132287"/>
    <w:rsid w:val="4643560D"/>
    <w:rsid w:val="464CD1C4"/>
    <w:rsid w:val="46533B62"/>
    <w:rsid w:val="465DFF99"/>
    <w:rsid w:val="466452F1"/>
    <w:rsid w:val="46721322"/>
    <w:rsid w:val="46796835"/>
    <w:rsid w:val="467DDD85"/>
    <w:rsid w:val="469C6E73"/>
    <w:rsid w:val="469D8579"/>
    <w:rsid w:val="46B587B7"/>
    <w:rsid w:val="46C3DD9B"/>
    <w:rsid w:val="46D0710D"/>
    <w:rsid w:val="46EC1259"/>
    <w:rsid w:val="46FCFE03"/>
    <w:rsid w:val="4703DBA1"/>
    <w:rsid w:val="47045FB8"/>
    <w:rsid w:val="471CEFE0"/>
    <w:rsid w:val="4723FAC1"/>
    <w:rsid w:val="472452CE"/>
    <w:rsid w:val="474E1462"/>
    <w:rsid w:val="475D5117"/>
    <w:rsid w:val="4766323E"/>
    <w:rsid w:val="47763CE7"/>
    <w:rsid w:val="4794CBD5"/>
    <w:rsid w:val="4797F4D2"/>
    <w:rsid w:val="47AD01C9"/>
    <w:rsid w:val="47AE65A2"/>
    <w:rsid w:val="47B0869D"/>
    <w:rsid w:val="47C1C957"/>
    <w:rsid w:val="47CE16B1"/>
    <w:rsid w:val="47D02E07"/>
    <w:rsid w:val="47D9383C"/>
    <w:rsid w:val="47E372B9"/>
    <w:rsid w:val="47FD3398"/>
    <w:rsid w:val="47FF6B33"/>
    <w:rsid w:val="4817E7BE"/>
    <w:rsid w:val="481E8210"/>
    <w:rsid w:val="4832A0CC"/>
    <w:rsid w:val="4836B320"/>
    <w:rsid w:val="48529A25"/>
    <w:rsid w:val="485563AD"/>
    <w:rsid w:val="487A2246"/>
    <w:rsid w:val="48983608"/>
    <w:rsid w:val="48995505"/>
    <w:rsid w:val="48B24580"/>
    <w:rsid w:val="48CE2240"/>
    <w:rsid w:val="48D0EC0D"/>
    <w:rsid w:val="48EC2651"/>
    <w:rsid w:val="48F02E1A"/>
    <w:rsid w:val="492FB088"/>
    <w:rsid w:val="4936E18F"/>
    <w:rsid w:val="4938812D"/>
    <w:rsid w:val="493A65D8"/>
    <w:rsid w:val="4942E8EA"/>
    <w:rsid w:val="494EA1A5"/>
    <w:rsid w:val="495F9EBF"/>
    <w:rsid w:val="49725F56"/>
    <w:rsid w:val="4974C585"/>
    <w:rsid w:val="498B680A"/>
    <w:rsid w:val="49AFE167"/>
    <w:rsid w:val="49B6D1BF"/>
    <w:rsid w:val="49BB0C79"/>
    <w:rsid w:val="49BDD070"/>
    <w:rsid w:val="49C1EC5A"/>
    <w:rsid w:val="49D674C1"/>
    <w:rsid w:val="49D92AAE"/>
    <w:rsid w:val="49E42FDC"/>
    <w:rsid w:val="49EECC75"/>
    <w:rsid w:val="49F81FAF"/>
    <w:rsid w:val="4A00100D"/>
    <w:rsid w:val="4A1800B2"/>
    <w:rsid w:val="4A2238FA"/>
    <w:rsid w:val="4A3ADC4A"/>
    <w:rsid w:val="4A692DDF"/>
    <w:rsid w:val="4A6F670B"/>
    <w:rsid w:val="4A777FC7"/>
    <w:rsid w:val="4AA077FD"/>
    <w:rsid w:val="4AA7FFE1"/>
    <w:rsid w:val="4ABE58EE"/>
    <w:rsid w:val="4AD29765"/>
    <w:rsid w:val="4AD3440D"/>
    <w:rsid w:val="4AD57F4F"/>
    <w:rsid w:val="4AD7A889"/>
    <w:rsid w:val="4ADA3FF3"/>
    <w:rsid w:val="4ADFFBEF"/>
    <w:rsid w:val="4AE94940"/>
    <w:rsid w:val="4AE9B1AA"/>
    <w:rsid w:val="4AEC7833"/>
    <w:rsid w:val="4AFD3503"/>
    <w:rsid w:val="4AFF8E6C"/>
    <w:rsid w:val="4B1F2FA8"/>
    <w:rsid w:val="4B294569"/>
    <w:rsid w:val="4B4A5453"/>
    <w:rsid w:val="4B70493C"/>
    <w:rsid w:val="4B9BCC11"/>
    <w:rsid w:val="4BB63897"/>
    <w:rsid w:val="4BB7F828"/>
    <w:rsid w:val="4BCB09F7"/>
    <w:rsid w:val="4BDE6F2A"/>
    <w:rsid w:val="4BE705EE"/>
    <w:rsid w:val="4BE8D91F"/>
    <w:rsid w:val="4C0C2249"/>
    <w:rsid w:val="4C2E8093"/>
    <w:rsid w:val="4C64D57D"/>
    <w:rsid w:val="4C67A599"/>
    <w:rsid w:val="4C746B1A"/>
    <w:rsid w:val="4C7DFDDA"/>
    <w:rsid w:val="4C839818"/>
    <w:rsid w:val="4CAED447"/>
    <w:rsid w:val="4CBAB018"/>
    <w:rsid w:val="4CDB9EF8"/>
    <w:rsid w:val="4CEA2D1C"/>
    <w:rsid w:val="4CF1F83D"/>
    <w:rsid w:val="4D168776"/>
    <w:rsid w:val="4D260B48"/>
    <w:rsid w:val="4D34ACC1"/>
    <w:rsid w:val="4D44BF98"/>
    <w:rsid w:val="4D5847E3"/>
    <w:rsid w:val="4D730AC7"/>
    <w:rsid w:val="4D836DC7"/>
    <w:rsid w:val="4D8AB3AA"/>
    <w:rsid w:val="4D94FB93"/>
    <w:rsid w:val="4D96298D"/>
    <w:rsid w:val="4DAE8FB1"/>
    <w:rsid w:val="4DB81B4A"/>
    <w:rsid w:val="4DBE1A4B"/>
    <w:rsid w:val="4DDBC405"/>
    <w:rsid w:val="4DF3F043"/>
    <w:rsid w:val="4E0EB1D3"/>
    <w:rsid w:val="4E0FAF2B"/>
    <w:rsid w:val="4E1FB119"/>
    <w:rsid w:val="4E22928B"/>
    <w:rsid w:val="4E305B91"/>
    <w:rsid w:val="4E430008"/>
    <w:rsid w:val="4E466D07"/>
    <w:rsid w:val="4E4975B8"/>
    <w:rsid w:val="4E568BB7"/>
    <w:rsid w:val="4E6CAB52"/>
    <w:rsid w:val="4E81F515"/>
    <w:rsid w:val="4E8431AC"/>
    <w:rsid w:val="4E8E179A"/>
    <w:rsid w:val="4E98481D"/>
    <w:rsid w:val="4EAF85AF"/>
    <w:rsid w:val="4EB2F34D"/>
    <w:rsid w:val="4EB5547D"/>
    <w:rsid w:val="4ECE01C5"/>
    <w:rsid w:val="4EDCFFC2"/>
    <w:rsid w:val="4EE7AFCF"/>
    <w:rsid w:val="4EEF6D0C"/>
    <w:rsid w:val="4EF820B9"/>
    <w:rsid w:val="4F08C147"/>
    <w:rsid w:val="4F0BC713"/>
    <w:rsid w:val="4F0EB5DE"/>
    <w:rsid w:val="4F97F12F"/>
    <w:rsid w:val="4F9F465B"/>
    <w:rsid w:val="4FB73FAF"/>
    <w:rsid w:val="4FCC1AA8"/>
    <w:rsid w:val="4FCC3B04"/>
    <w:rsid w:val="4FDCA41E"/>
    <w:rsid w:val="4FED15A7"/>
    <w:rsid w:val="4FFDD6FE"/>
    <w:rsid w:val="4FFE2BF8"/>
    <w:rsid w:val="5009E5A0"/>
    <w:rsid w:val="500BC219"/>
    <w:rsid w:val="500FF468"/>
    <w:rsid w:val="50122C3A"/>
    <w:rsid w:val="5012B686"/>
    <w:rsid w:val="5017E81A"/>
    <w:rsid w:val="50233347"/>
    <w:rsid w:val="50234C9C"/>
    <w:rsid w:val="50318926"/>
    <w:rsid w:val="5040203F"/>
    <w:rsid w:val="50524CB5"/>
    <w:rsid w:val="505F0A18"/>
    <w:rsid w:val="5076D650"/>
    <w:rsid w:val="5088EBA7"/>
    <w:rsid w:val="5092981B"/>
    <w:rsid w:val="509473AB"/>
    <w:rsid w:val="50AC3896"/>
    <w:rsid w:val="50B02CA6"/>
    <w:rsid w:val="50C5E76D"/>
    <w:rsid w:val="50DAE08A"/>
    <w:rsid w:val="50DD2A28"/>
    <w:rsid w:val="50DFECAF"/>
    <w:rsid w:val="50E6029E"/>
    <w:rsid w:val="511E9F7C"/>
    <w:rsid w:val="51273C20"/>
    <w:rsid w:val="5132B5CC"/>
    <w:rsid w:val="515957D5"/>
    <w:rsid w:val="515E5E4E"/>
    <w:rsid w:val="5164DAD4"/>
    <w:rsid w:val="516B39B7"/>
    <w:rsid w:val="5174F8F7"/>
    <w:rsid w:val="518806E6"/>
    <w:rsid w:val="519FF38A"/>
    <w:rsid w:val="51B396D9"/>
    <w:rsid w:val="51B94821"/>
    <w:rsid w:val="51BA116F"/>
    <w:rsid w:val="51D3233A"/>
    <w:rsid w:val="51E5981E"/>
    <w:rsid w:val="51F37F2C"/>
    <w:rsid w:val="5202CBA7"/>
    <w:rsid w:val="5210F171"/>
    <w:rsid w:val="52341A05"/>
    <w:rsid w:val="52366C2B"/>
    <w:rsid w:val="523EF246"/>
    <w:rsid w:val="52493E96"/>
    <w:rsid w:val="5252FDDD"/>
    <w:rsid w:val="525A2E3B"/>
    <w:rsid w:val="525AA6DE"/>
    <w:rsid w:val="525BFF35"/>
    <w:rsid w:val="5264D9A1"/>
    <w:rsid w:val="5267AB1C"/>
    <w:rsid w:val="5280ABE3"/>
    <w:rsid w:val="528E1C3F"/>
    <w:rsid w:val="529AC915"/>
    <w:rsid w:val="52A973AC"/>
    <w:rsid w:val="52AAF26A"/>
    <w:rsid w:val="52AFCCA0"/>
    <w:rsid w:val="52CEA96E"/>
    <w:rsid w:val="52D9B13F"/>
    <w:rsid w:val="52E0326C"/>
    <w:rsid w:val="52E282ED"/>
    <w:rsid w:val="52F315A5"/>
    <w:rsid w:val="53173F84"/>
    <w:rsid w:val="531C962E"/>
    <w:rsid w:val="531CE6DB"/>
    <w:rsid w:val="53224739"/>
    <w:rsid w:val="5339227A"/>
    <w:rsid w:val="53459E1C"/>
    <w:rsid w:val="53475B94"/>
    <w:rsid w:val="5373461A"/>
    <w:rsid w:val="537E2D6D"/>
    <w:rsid w:val="53817048"/>
    <w:rsid w:val="538D6DBD"/>
    <w:rsid w:val="5394B1A1"/>
    <w:rsid w:val="53A4730B"/>
    <w:rsid w:val="53AE5C9D"/>
    <w:rsid w:val="53CC9F51"/>
    <w:rsid w:val="5400A546"/>
    <w:rsid w:val="5405A26A"/>
    <w:rsid w:val="54112AB1"/>
    <w:rsid w:val="5415E8AB"/>
    <w:rsid w:val="541854D6"/>
    <w:rsid w:val="541966F5"/>
    <w:rsid w:val="5433B4C3"/>
    <w:rsid w:val="54394C6E"/>
    <w:rsid w:val="5463DA6E"/>
    <w:rsid w:val="5473A4C0"/>
    <w:rsid w:val="5478C230"/>
    <w:rsid w:val="54802676"/>
    <w:rsid w:val="548C028A"/>
    <w:rsid w:val="5497B72D"/>
    <w:rsid w:val="54989092"/>
    <w:rsid w:val="54A67056"/>
    <w:rsid w:val="54AA3EEC"/>
    <w:rsid w:val="54B02670"/>
    <w:rsid w:val="54B7CA7B"/>
    <w:rsid w:val="54D553CA"/>
    <w:rsid w:val="54D5CEDF"/>
    <w:rsid w:val="54F6BA01"/>
    <w:rsid w:val="5505F561"/>
    <w:rsid w:val="550A2174"/>
    <w:rsid w:val="550D8BE1"/>
    <w:rsid w:val="5512C900"/>
    <w:rsid w:val="5517609F"/>
    <w:rsid w:val="55221871"/>
    <w:rsid w:val="5547F242"/>
    <w:rsid w:val="55580DD6"/>
    <w:rsid w:val="556859DA"/>
    <w:rsid w:val="556DA72B"/>
    <w:rsid w:val="55869321"/>
    <w:rsid w:val="558EF029"/>
    <w:rsid w:val="558FBB65"/>
    <w:rsid w:val="5591C27A"/>
    <w:rsid w:val="55C8EC3F"/>
    <w:rsid w:val="55E810A8"/>
    <w:rsid w:val="55F4D2CA"/>
    <w:rsid w:val="55F5E1B1"/>
    <w:rsid w:val="55FE010D"/>
    <w:rsid w:val="5605C3CC"/>
    <w:rsid w:val="560EF936"/>
    <w:rsid w:val="56106FD0"/>
    <w:rsid w:val="5623A24C"/>
    <w:rsid w:val="565057A0"/>
    <w:rsid w:val="565E890F"/>
    <w:rsid w:val="565E8B5D"/>
    <w:rsid w:val="5666ED1D"/>
    <w:rsid w:val="566F5E06"/>
    <w:rsid w:val="566FD895"/>
    <w:rsid w:val="5688EC43"/>
    <w:rsid w:val="568D06FA"/>
    <w:rsid w:val="56A62627"/>
    <w:rsid w:val="56ACFEA4"/>
    <w:rsid w:val="56B270AB"/>
    <w:rsid w:val="56DC8B7D"/>
    <w:rsid w:val="56EA6937"/>
    <w:rsid w:val="56F23BAB"/>
    <w:rsid w:val="57061561"/>
    <w:rsid w:val="57180D25"/>
    <w:rsid w:val="5728EF47"/>
    <w:rsid w:val="573C452A"/>
    <w:rsid w:val="57415438"/>
    <w:rsid w:val="57465998"/>
    <w:rsid w:val="57503B3B"/>
    <w:rsid w:val="5752033A"/>
    <w:rsid w:val="57575A58"/>
    <w:rsid w:val="575A92F8"/>
    <w:rsid w:val="5771CDAF"/>
    <w:rsid w:val="578198BD"/>
    <w:rsid w:val="57935BD4"/>
    <w:rsid w:val="57A4C1BE"/>
    <w:rsid w:val="57ADB722"/>
    <w:rsid w:val="57BA3238"/>
    <w:rsid w:val="57C7E13A"/>
    <w:rsid w:val="57ED65EC"/>
    <w:rsid w:val="583F5422"/>
    <w:rsid w:val="58441BAC"/>
    <w:rsid w:val="584C8809"/>
    <w:rsid w:val="58624C6F"/>
    <w:rsid w:val="588E0C0C"/>
    <w:rsid w:val="589373BF"/>
    <w:rsid w:val="58A5ADAF"/>
    <w:rsid w:val="58B5D71E"/>
    <w:rsid w:val="58BD9C6B"/>
    <w:rsid w:val="58C071DF"/>
    <w:rsid w:val="58E52BE9"/>
    <w:rsid w:val="58E89080"/>
    <w:rsid w:val="58EA671C"/>
    <w:rsid w:val="58F5C9C5"/>
    <w:rsid w:val="58FAFF9D"/>
    <w:rsid w:val="58FF9E02"/>
    <w:rsid w:val="591173A4"/>
    <w:rsid w:val="59236AD9"/>
    <w:rsid w:val="5932E365"/>
    <w:rsid w:val="59350A57"/>
    <w:rsid w:val="595049AF"/>
    <w:rsid w:val="595974F2"/>
    <w:rsid w:val="595D4A00"/>
    <w:rsid w:val="5984EEFA"/>
    <w:rsid w:val="5987F862"/>
    <w:rsid w:val="599B27CC"/>
    <w:rsid w:val="599B801D"/>
    <w:rsid w:val="59B38A23"/>
    <w:rsid w:val="59B7F6F1"/>
    <w:rsid w:val="59CC3861"/>
    <w:rsid w:val="59DD85D0"/>
    <w:rsid w:val="59F70288"/>
    <w:rsid w:val="59FD6760"/>
    <w:rsid w:val="5A0F25D1"/>
    <w:rsid w:val="5A13977A"/>
    <w:rsid w:val="5A2256B5"/>
    <w:rsid w:val="5A496CB3"/>
    <w:rsid w:val="5A5DB6EA"/>
    <w:rsid w:val="5A697517"/>
    <w:rsid w:val="5AC9AF98"/>
    <w:rsid w:val="5ACBC5E4"/>
    <w:rsid w:val="5AD8084A"/>
    <w:rsid w:val="5AD8FF01"/>
    <w:rsid w:val="5AD974E6"/>
    <w:rsid w:val="5AEF8A01"/>
    <w:rsid w:val="5AF4B87F"/>
    <w:rsid w:val="5AF6E7CE"/>
    <w:rsid w:val="5AFC122D"/>
    <w:rsid w:val="5B075A90"/>
    <w:rsid w:val="5B25C0E8"/>
    <w:rsid w:val="5B27BA96"/>
    <w:rsid w:val="5B2D537D"/>
    <w:rsid w:val="5B316E00"/>
    <w:rsid w:val="5B48CC25"/>
    <w:rsid w:val="5B67F7CF"/>
    <w:rsid w:val="5B813F4F"/>
    <w:rsid w:val="5B91CDD5"/>
    <w:rsid w:val="5B988672"/>
    <w:rsid w:val="5B98B191"/>
    <w:rsid w:val="5BA4EB0E"/>
    <w:rsid w:val="5BAFE197"/>
    <w:rsid w:val="5BEA4A1B"/>
    <w:rsid w:val="5BF8204B"/>
    <w:rsid w:val="5C0A3E5E"/>
    <w:rsid w:val="5C21D608"/>
    <w:rsid w:val="5C337E35"/>
    <w:rsid w:val="5C612C22"/>
    <w:rsid w:val="5C65C0E1"/>
    <w:rsid w:val="5C6CDB03"/>
    <w:rsid w:val="5C786983"/>
    <w:rsid w:val="5C8229BD"/>
    <w:rsid w:val="5C8DA35B"/>
    <w:rsid w:val="5C9B13FB"/>
    <w:rsid w:val="5C9D37EC"/>
    <w:rsid w:val="5CA194B9"/>
    <w:rsid w:val="5CA32AF1"/>
    <w:rsid w:val="5CB0B3D2"/>
    <w:rsid w:val="5CB85EAA"/>
    <w:rsid w:val="5CC1DEE5"/>
    <w:rsid w:val="5CC923DE"/>
    <w:rsid w:val="5CCE86CF"/>
    <w:rsid w:val="5CDC1384"/>
    <w:rsid w:val="5CE0494C"/>
    <w:rsid w:val="5CE2B5A6"/>
    <w:rsid w:val="5CEA34D2"/>
    <w:rsid w:val="5CEBE9E5"/>
    <w:rsid w:val="5CEE8ECB"/>
    <w:rsid w:val="5CF1950C"/>
    <w:rsid w:val="5D0404B7"/>
    <w:rsid w:val="5D0FCBA9"/>
    <w:rsid w:val="5D12F71B"/>
    <w:rsid w:val="5D1A06CE"/>
    <w:rsid w:val="5D2152BA"/>
    <w:rsid w:val="5D349106"/>
    <w:rsid w:val="5D3818ED"/>
    <w:rsid w:val="5D4457A0"/>
    <w:rsid w:val="5D462F1B"/>
    <w:rsid w:val="5D6CABC5"/>
    <w:rsid w:val="5D76F920"/>
    <w:rsid w:val="5D81551F"/>
    <w:rsid w:val="5D81EC97"/>
    <w:rsid w:val="5D8F8FEF"/>
    <w:rsid w:val="5D94C59D"/>
    <w:rsid w:val="5D9F3D9A"/>
    <w:rsid w:val="5DAE52A1"/>
    <w:rsid w:val="5DB026EC"/>
    <w:rsid w:val="5DB8238C"/>
    <w:rsid w:val="5DE8FA29"/>
    <w:rsid w:val="5DEAD5C1"/>
    <w:rsid w:val="5DF970AE"/>
    <w:rsid w:val="5E081178"/>
    <w:rsid w:val="5E0C2924"/>
    <w:rsid w:val="5E1764E3"/>
    <w:rsid w:val="5E22E513"/>
    <w:rsid w:val="5E248C23"/>
    <w:rsid w:val="5E29F196"/>
    <w:rsid w:val="5E3DE312"/>
    <w:rsid w:val="5E51A85E"/>
    <w:rsid w:val="5E55A7F0"/>
    <w:rsid w:val="5E64A4EF"/>
    <w:rsid w:val="5E64CC7B"/>
    <w:rsid w:val="5E675A72"/>
    <w:rsid w:val="5E9627BB"/>
    <w:rsid w:val="5E9A7A3D"/>
    <w:rsid w:val="5E9CAA21"/>
    <w:rsid w:val="5E9F8C95"/>
    <w:rsid w:val="5EA48BCC"/>
    <w:rsid w:val="5EAC811C"/>
    <w:rsid w:val="5EAF520B"/>
    <w:rsid w:val="5EB078F8"/>
    <w:rsid w:val="5ECA6A6D"/>
    <w:rsid w:val="5ED05F03"/>
    <w:rsid w:val="5EFAC525"/>
    <w:rsid w:val="5F078F8F"/>
    <w:rsid w:val="5F1A84D4"/>
    <w:rsid w:val="5F22FBDB"/>
    <w:rsid w:val="5F273BCE"/>
    <w:rsid w:val="5F8797D3"/>
    <w:rsid w:val="5F8BDBD2"/>
    <w:rsid w:val="5F902B52"/>
    <w:rsid w:val="5F995713"/>
    <w:rsid w:val="5F9EF402"/>
    <w:rsid w:val="5FACE85A"/>
    <w:rsid w:val="5FB96C6C"/>
    <w:rsid w:val="5FD2B4BD"/>
    <w:rsid w:val="5FD7895B"/>
    <w:rsid w:val="5FD9357B"/>
    <w:rsid w:val="5FE100B1"/>
    <w:rsid w:val="5FE3764A"/>
    <w:rsid w:val="5FF8B570"/>
    <w:rsid w:val="5FF97FA7"/>
    <w:rsid w:val="5FFFBB05"/>
    <w:rsid w:val="600AF9C2"/>
    <w:rsid w:val="6045D8FB"/>
    <w:rsid w:val="607AAC1C"/>
    <w:rsid w:val="608CBFAB"/>
    <w:rsid w:val="608DF639"/>
    <w:rsid w:val="609B562E"/>
    <w:rsid w:val="60AD3C55"/>
    <w:rsid w:val="60D12A45"/>
    <w:rsid w:val="60D1EE43"/>
    <w:rsid w:val="60DA0F6C"/>
    <w:rsid w:val="60DFC97D"/>
    <w:rsid w:val="60F5145A"/>
    <w:rsid w:val="60F5CF55"/>
    <w:rsid w:val="610EABD0"/>
    <w:rsid w:val="6110436E"/>
    <w:rsid w:val="611B48FB"/>
    <w:rsid w:val="6122CAF6"/>
    <w:rsid w:val="61265D62"/>
    <w:rsid w:val="612DA254"/>
    <w:rsid w:val="613BABA9"/>
    <w:rsid w:val="615B0B9B"/>
    <w:rsid w:val="615BDD7F"/>
    <w:rsid w:val="61612147"/>
    <w:rsid w:val="616CFD18"/>
    <w:rsid w:val="617F0238"/>
    <w:rsid w:val="618C602A"/>
    <w:rsid w:val="61958158"/>
    <w:rsid w:val="6197F2D1"/>
    <w:rsid w:val="619AAE75"/>
    <w:rsid w:val="61A4A780"/>
    <w:rsid w:val="61B3D6D2"/>
    <w:rsid w:val="61DDDF3F"/>
    <w:rsid w:val="61EB1430"/>
    <w:rsid w:val="61EE0151"/>
    <w:rsid w:val="61F29709"/>
    <w:rsid w:val="6201978C"/>
    <w:rsid w:val="621E26FC"/>
    <w:rsid w:val="62336798"/>
    <w:rsid w:val="623FA20A"/>
    <w:rsid w:val="624A7EEB"/>
    <w:rsid w:val="62598B9F"/>
    <w:rsid w:val="62648B7A"/>
    <w:rsid w:val="626DEC30"/>
    <w:rsid w:val="62A47CCD"/>
    <w:rsid w:val="62B51DD7"/>
    <w:rsid w:val="62C5DB91"/>
    <w:rsid w:val="62D08B9E"/>
    <w:rsid w:val="62D37E3F"/>
    <w:rsid w:val="62E55CE2"/>
    <w:rsid w:val="62F4A42A"/>
    <w:rsid w:val="62FB8E16"/>
    <w:rsid w:val="630A1FD6"/>
    <w:rsid w:val="630A557F"/>
    <w:rsid w:val="630AB583"/>
    <w:rsid w:val="632BD140"/>
    <w:rsid w:val="63367ED6"/>
    <w:rsid w:val="6355E3C4"/>
    <w:rsid w:val="636DAA60"/>
    <w:rsid w:val="637125F0"/>
    <w:rsid w:val="639539DE"/>
    <w:rsid w:val="63AA2AC3"/>
    <w:rsid w:val="63AD2D8F"/>
    <w:rsid w:val="63B21EF7"/>
    <w:rsid w:val="63B2D420"/>
    <w:rsid w:val="63B7B623"/>
    <w:rsid w:val="63C7D835"/>
    <w:rsid w:val="63E2433B"/>
    <w:rsid w:val="63E3D96C"/>
    <w:rsid w:val="6436C5BC"/>
    <w:rsid w:val="6453AD22"/>
    <w:rsid w:val="645ABB86"/>
    <w:rsid w:val="645F5FE0"/>
    <w:rsid w:val="64681753"/>
    <w:rsid w:val="64789C77"/>
    <w:rsid w:val="64906DC4"/>
    <w:rsid w:val="64951726"/>
    <w:rsid w:val="64B2E9D0"/>
    <w:rsid w:val="64B6089E"/>
    <w:rsid w:val="64CC4D10"/>
    <w:rsid w:val="64DA123F"/>
    <w:rsid w:val="64DD3CD4"/>
    <w:rsid w:val="64EE8243"/>
    <w:rsid w:val="64F19D01"/>
    <w:rsid w:val="650784A6"/>
    <w:rsid w:val="653ABD2E"/>
    <w:rsid w:val="6542A751"/>
    <w:rsid w:val="654A1905"/>
    <w:rsid w:val="65522B31"/>
    <w:rsid w:val="655366B7"/>
    <w:rsid w:val="655A7BEC"/>
    <w:rsid w:val="65760A7A"/>
    <w:rsid w:val="65C0FD99"/>
    <w:rsid w:val="65D3D730"/>
    <w:rsid w:val="65DF02CD"/>
    <w:rsid w:val="65E63D3F"/>
    <w:rsid w:val="65EEC4EF"/>
    <w:rsid w:val="65F5E2AC"/>
    <w:rsid w:val="6603E7B4"/>
    <w:rsid w:val="660794E8"/>
    <w:rsid w:val="6612E275"/>
    <w:rsid w:val="661370D2"/>
    <w:rsid w:val="661AF89D"/>
    <w:rsid w:val="662B049D"/>
    <w:rsid w:val="662C3E25"/>
    <w:rsid w:val="663356CA"/>
    <w:rsid w:val="664A0D37"/>
    <w:rsid w:val="6653B926"/>
    <w:rsid w:val="6658209D"/>
    <w:rsid w:val="665FEF8C"/>
    <w:rsid w:val="66656907"/>
    <w:rsid w:val="669878D8"/>
    <w:rsid w:val="669F0A41"/>
    <w:rsid w:val="669FE7B6"/>
    <w:rsid w:val="66B6A012"/>
    <w:rsid w:val="66BC5D33"/>
    <w:rsid w:val="66CC1113"/>
    <w:rsid w:val="66D11D64"/>
    <w:rsid w:val="66DE77B2"/>
    <w:rsid w:val="66F9A057"/>
    <w:rsid w:val="66FA18B8"/>
    <w:rsid w:val="66FE4C69"/>
    <w:rsid w:val="66FF463F"/>
    <w:rsid w:val="67004F0E"/>
    <w:rsid w:val="6711DC27"/>
    <w:rsid w:val="67269F0E"/>
    <w:rsid w:val="672DF8E1"/>
    <w:rsid w:val="67430E3E"/>
    <w:rsid w:val="67459BF2"/>
    <w:rsid w:val="675CFC6A"/>
    <w:rsid w:val="675EAFC8"/>
    <w:rsid w:val="6777E59A"/>
    <w:rsid w:val="677DFB74"/>
    <w:rsid w:val="6783BF2F"/>
    <w:rsid w:val="6783FE6D"/>
    <w:rsid w:val="6791C4D0"/>
    <w:rsid w:val="67AA05E7"/>
    <w:rsid w:val="67BD54C3"/>
    <w:rsid w:val="67BDA43A"/>
    <w:rsid w:val="67C59974"/>
    <w:rsid w:val="67CB47D0"/>
    <w:rsid w:val="68049249"/>
    <w:rsid w:val="680DEC4B"/>
    <w:rsid w:val="681650C4"/>
    <w:rsid w:val="68242F8F"/>
    <w:rsid w:val="6846E8AB"/>
    <w:rsid w:val="68484994"/>
    <w:rsid w:val="685A6B1E"/>
    <w:rsid w:val="68627005"/>
    <w:rsid w:val="686E1905"/>
    <w:rsid w:val="68733189"/>
    <w:rsid w:val="687794EA"/>
    <w:rsid w:val="687EBD5F"/>
    <w:rsid w:val="68839F62"/>
    <w:rsid w:val="6893A3EE"/>
    <w:rsid w:val="689F620D"/>
    <w:rsid w:val="68A0F9C1"/>
    <w:rsid w:val="68B4B054"/>
    <w:rsid w:val="68BBD179"/>
    <w:rsid w:val="68DD6795"/>
    <w:rsid w:val="691995BB"/>
    <w:rsid w:val="691E7579"/>
    <w:rsid w:val="693A14A3"/>
    <w:rsid w:val="6968CD55"/>
    <w:rsid w:val="6969FB54"/>
    <w:rsid w:val="697190DE"/>
    <w:rsid w:val="6981E392"/>
    <w:rsid w:val="699550A9"/>
    <w:rsid w:val="69B668F8"/>
    <w:rsid w:val="69CB7E3C"/>
    <w:rsid w:val="69DE6B28"/>
    <w:rsid w:val="69DEF637"/>
    <w:rsid w:val="69EE7B2E"/>
    <w:rsid w:val="69FB5FE7"/>
    <w:rsid w:val="6A087C14"/>
    <w:rsid w:val="6A10752B"/>
    <w:rsid w:val="6A14AFA8"/>
    <w:rsid w:val="6A18B1BF"/>
    <w:rsid w:val="6A1AE6D2"/>
    <w:rsid w:val="6A3D94C9"/>
    <w:rsid w:val="6A3E6847"/>
    <w:rsid w:val="6A46E29B"/>
    <w:rsid w:val="6A5B4F38"/>
    <w:rsid w:val="6A8C6049"/>
    <w:rsid w:val="6A90CE51"/>
    <w:rsid w:val="6A9F450C"/>
    <w:rsid w:val="6AAA2BEB"/>
    <w:rsid w:val="6AC13F0C"/>
    <w:rsid w:val="6AE57A86"/>
    <w:rsid w:val="6AE6E1F5"/>
    <w:rsid w:val="6AF6AABE"/>
    <w:rsid w:val="6B11397D"/>
    <w:rsid w:val="6B26BEB5"/>
    <w:rsid w:val="6B3BA1AD"/>
    <w:rsid w:val="6B57D68B"/>
    <w:rsid w:val="6B6A0866"/>
    <w:rsid w:val="6B6BBA50"/>
    <w:rsid w:val="6B6F6A62"/>
    <w:rsid w:val="6B71B0DE"/>
    <w:rsid w:val="6B83464A"/>
    <w:rsid w:val="6B8BCE53"/>
    <w:rsid w:val="6B9FA48D"/>
    <w:rsid w:val="6BAE2349"/>
    <w:rsid w:val="6BBE71EA"/>
    <w:rsid w:val="6BD2D907"/>
    <w:rsid w:val="6BE911BC"/>
    <w:rsid w:val="6BF8E2D5"/>
    <w:rsid w:val="6C03546B"/>
    <w:rsid w:val="6C1193E3"/>
    <w:rsid w:val="6C2C9EB2"/>
    <w:rsid w:val="6C2EFDB5"/>
    <w:rsid w:val="6C4597A5"/>
    <w:rsid w:val="6C470366"/>
    <w:rsid w:val="6C4A83F2"/>
    <w:rsid w:val="6C558718"/>
    <w:rsid w:val="6C5ADCD6"/>
    <w:rsid w:val="6C63C032"/>
    <w:rsid w:val="6C6BD691"/>
    <w:rsid w:val="6C6C369A"/>
    <w:rsid w:val="6C98BA27"/>
    <w:rsid w:val="6CACCBEB"/>
    <w:rsid w:val="6CC72382"/>
    <w:rsid w:val="6CCFA280"/>
    <w:rsid w:val="6CD38097"/>
    <w:rsid w:val="6CD5ECEA"/>
    <w:rsid w:val="6CE72799"/>
    <w:rsid w:val="6D0EFA19"/>
    <w:rsid w:val="6D51FBB1"/>
    <w:rsid w:val="6D750844"/>
    <w:rsid w:val="6D7894AC"/>
    <w:rsid w:val="6D7D8338"/>
    <w:rsid w:val="6D7EF933"/>
    <w:rsid w:val="6D8909B3"/>
    <w:rsid w:val="6D8CA835"/>
    <w:rsid w:val="6D9E8B6D"/>
    <w:rsid w:val="6D9F85A4"/>
    <w:rsid w:val="6DBDE011"/>
    <w:rsid w:val="6DC4200F"/>
    <w:rsid w:val="6DC618EA"/>
    <w:rsid w:val="6DC777BD"/>
    <w:rsid w:val="6DDCD38B"/>
    <w:rsid w:val="6DF231AA"/>
    <w:rsid w:val="6E03788A"/>
    <w:rsid w:val="6E34DAF8"/>
    <w:rsid w:val="6E591DF3"/>
    <w:rsid w:val="6E6314E6"/>
    <w:rsid w:val="6E67CC28"/>
    <w:rsid w:val="6E758C1D"/>
    <w:rsid w:val="6E796257"/>
    <w:rsid w:val="6E857E6E"/>
    <w:rsid w:val="6EACBB07"/>
    <w:rsid w:val="6EC5B58F"/>
    <w:rsid w:val="6EC6ABB9"/>
    <w:rsid w:val="6ECD413A"/>
    <w:rsid w:val="6ECF9B53"/>
    <w:rsid w:val="6ED08299"/>
    <w:rsid w:val="6EE31D8E"/>
    <w:rsid w:val="6F32F2EE"/>
    <w:rsid w:val="6F355128"/>
    <w:rsid w:val="6F3D4021"/>
    <w:rsid w:val="6F459FB7"/>
    <w:rsid w:val="6F58D017"/>
    <w:rsid w:val="6F61B8BE"/>
    <w:rsid w:val="6F647864"/>
    <w:rsid w:val="6F6BCABF"/>
    <w:rsid w:val="6F7FF533"/>
    <w:rsid w:val="6F835E8A"/>
    <w:rsid w:val="6F9BCAE9"/>
    <w:rsid w:val="6FB09E02"/>
    <w:rsid w:val="6FBFD48A"/>
    <w:rsid w:val="6FC197DE"/>
    <w:rsid w:val="6FCC6F47"/>
    <w:rsid w:val="6FD6A53F"/>
    <w:rsid w:val="6FE1B659"/>
    <w:rsid w:val="6FE87C4A"/>
    <w:rsid w:val="6FE901F7"/>
    <w:rsid w:val="6FF03096"/>
    <w:rsid w:val="700A78E3"/>
    <w:rsid w:val="701870F3"/>
    <w:rsid w:val="7021CD2E"/>
    <w:rsid w:val="702AA2AA"/>
    <w:rsid w:val="704DBE1B"/>
    <w:rsid w:val="705B91A3"/>
    <w:rsid w:val="705C3A4A"/>
    <w:rsid w:val="70695766"/>
    <w:rsid w:val="70710B8E"/>
    <w:rsid w:val="708CBD0A"/>
    <w:rsid w:val="7097D1BE"/>
    <w:rsid w:val="709D8AC4"/>
    <w:rsid w:val="70B90C5B"/>
    <w:rsid w:val="70BD8A61"/>
    <w:rsid w:val="70CE87C9"/>
    <w:rsid w:val="70D4C04D"/>
    <w:rsid w:val="70F1631F"/>
    <w:rsid w:val="7109B327"/>
    <w:rsid w:val="7135F968"/>
    <w:rsid w:val="71559A62"/>
    <w:rsid w:val="7176DE52"/>
    <w:rsid w:val="718224C3"/>
    <w:rsid w:val="718D15D9"/>
    <w:rsid w:val="71A0A913"/>
    <w:rsid w:val="71B99F81"/>
    <w:rsid w:val="71D3CDB3"/>
    <w:rsid w:val="71DF59AE"/>
    <w:rsid w:val="71F49A3E"/>
    <w:rsid w:val="7202EA9A"/>
    <w:rsid w:val="72078BE3"/>
    <w:rsid w:val="720C144F"/>
    <w:rsid w:val="725C7B08"/>
    <w:rsid w:val="726D2AE7"/>
    <w:rsid w:val="726DB1C2"/>
    <w:rsid w:val="72745AA0"/>
    <w:rsid w:val="728C2052"/>
    <w:rsid w:val="728D99BC"/>
    <w:rsid w:val="72932FDD"/>
    <w:rsid w:val="72976145"/>
    <w:rsid w:val="7299E79C"/>
    <w:rsid w:val="729D68C7"/>
    <w:rsid w:val="729EF5F2"/>
    <w:rsid w:val="72A8CC09"/>
    <w:rsid w:val="72C517E1"/>
    <w:rsid w:val="72D6238E"/>
    <w:rsid w:val="72DA129A"/>
    <w:rsid w:val="72FD1C4B"/>
    <w:rsid w:val="730750EC"/>
    <w:rsid w:val="73104EEB"/>
    <w:rsid w:val="731ADD3E"/>
    <w:rsid w:val="7321779A"/>
    <w:rsid w:val="73274B24"/>
    <w:rsid w:val="732F6888"/>
    <w:rsid w:val="734FED05"/>
    <w:rsid w:val="735EACFF"/>
    <w:rsid w:val="739740B2"/>
    <w:rsid w:val="73A04453"/>
    <w:rsid w:val="73A448AE"/>
    <w:rsid w:val="73A8CDF2"/>
    <w:rsid w:val="73CDDEE9"/>
    <w:rsid w:val="73D495EC"/>
    <w:rsid w:val="73DB561E"/>
    <w:rsid w:val="73E9C60A"/>
    <w:rsid w:val="740242AD"/>
    <w:rsid w:val="743008BD"/>
    <w:rsid w:val="74398A9A"/>
    <w:rsid w:val="744A17D0"/>
    <w:rsid w:val="744E3A75"/>
    <w:rsid w:val="7451B6D8"/>
    <w:rsid w:val="7451CA1F"/>
    <w:rsid w:val="748AF41F"/>
    <w:rsid w:val="748E7CDF"/>
    <w:rsid w:val="74A41C7C"/>
    <w:rsid w:val="74B2A257"/>
    <w:rsid w:val="74B32FD1"/>
    <w:rsid w:val="74B94BA9"/>
    <w:rsid w:val="74C68B53"/>
    <w:rsid w:val="74D8AF5E"/>
    <w:rsid w:val="74DA1CED"/>
    <w:rsid w:val="74F24713"/>
    <w:rsid w:val="74F58ACE"/>
    <w:rsid w:val="75275831"/>
    <w:rsid w:val="753FE38E"/>
    <w:rsid w:val="7560714B"/>
    <w:rsid w:val="7570083E"/>
    <w:rsid w:val="7576C98C"/>
    <w:rsid w:val="7577FA42"/>
    <w:rsid w:val="758919AA"/>
    <w:rsid w:val="7591B51F"/>
    <w:rsid w:val="7591E76F"/>
    <w:rsid w:val="75992122"/>
    <w:rsid w:val="75ADF980"/>
    <w:rsid w:val="75C48425"/>
    <w:rsid w:val="75C51A74"/>
    <w:rsid w:val="75C5A907"/>
    <w:rsid w:val="76000649"/>
    <w:rsid w:val="760A73D3"/>
    <w:rsid w:val="763DEBF0"/>
    <w:rsid w:val="764C685D"/>
    <w:rsid w:val="765478C3"/>
    <w:rsid w:val="765C107C"/>
    <w:rsid w:val="7667D0FB"/>
    <w:rsid w:val="7686E59A"/>
    <w:rsid w:val="7691D445"/>
    <w:rsid w:val="76BA6551"/>
    <w:rsid w:val="76C5429A"/>
    <w:rsid w:val="772FC121"/>
    <w:rsid w:val="77456993"/>
    <w:rsid w:val="774946CB"/>
    <w:rsid w:val="7753F3F4"/>
    <w:rsid w:val="7758CD48"/>
    <w:rsid w:val="77652ECB"/>
    <w:rsid w:val="776ADF31"/>
    <w:rsid w:val="7788C022"/>
    <w:rsid w:val="77892EE7"/>
    <w:rsid w:val="779B8815"/>
    <w:rsid w:val="779EDCB6"/>
    <w:rsid w:val="77BD3AD4"/>
    <w:rsid w:val="77CAC1B9"/>
    <w:rsid w:val="77F88803"/>
    <w:rsid w:val="78212650"/>
    <w:rsid w:val="78234BEB"/>
    <w:rsid w:val="783CA4FB"/>
    <w:rsid w:val="783DBB0F"/>
    <w:rsid w:val="786397AA"/>
    <w:rsid w:val="786A6CC6"/>
    <w:rsid w:val="78831AA8"/>
    <w:rsid w:val="7886BA26"/>
    <w:rsid w:val="788855C9"/>
    <w:rsid w:val="788ABD03"/>
    <w:rsid w:val="78962471"/>
    <w:rsid w:val="78A12E6A"/>
    <w:rsid w:val="78BA85B9"/>
    <w:rsid w:val="78D25942"/>
    <w:rsid w:val="78E62559"/>
    <w:rsid w:val="78FEFB18"/>
    <w:rsid w:val="792ACFB6"/>
    <w:rsid w:val="792FFE4B"/>
    <w:rsid w:val="794ABBAE"/>
    <w:rsid w:val="79559C51"/>
    <w:rsid w:val="795BCB0B"/>
    <w:rsid w:val="7966406B"/>
    <w:rsid w:val="79778D9F"/>
    <w:rsid w:val="798FE43D"/>
    <w:rsid w:val="79B2039F"/>
    <w:rsid w:val="79C1740D"/>
    <w:rsid w:val="79CF5403"/>
    <w:rsid w:val="79CF9CFF"/>
    <w:rsid w:val="79D1961F"/>
    <w:rsid w:val="79D6E1C5"/>
    <w:rsid w:val="79ECD499"/>
    <w:rsid w:val="7A184247"/>
    <w:rsid w:val="7A22A797"/>
    <w:rsid w:val="7A360E5F"/>
    <w:rsid w:val="7A3D9821"/>
    <w:rsid w:val="7A4D4834"/>
    <w:rsid w:val="7A4D8EB9"/>
    <w:rsid w:val="7A4ED7BC"/>
    <w:rsid w:val="7A5C09BD"/>
    <w:rsid w:val="7A70213C"/>
    <w:rsid w:val="7A88317B"/>
    <w:rsid w:val="7A975BAB"/>
    <w:rsid w:val="7AA6484E"/>
    <w:rsid w:val="7AAE20DA"/>
    <w:rsid w:val="7AB3A369"/>
    <w:rsid w:val="7AD16453"/>
    <w:rsid w:val="7ADD386E"/>
    <w:rsid w:val="7ADE8BDC"/>
    <w:rsid w:val="7AE29929"/>
    <w:rsid w:val="7B155B6E"/>
    <w:rsid w:val="7B1F42E7"/>
    <w:rsid w:val="7B3D32F6"/>
    <w:rsid w:val="7B443DC7"/>
    <w:rsid w:val="7B45E366"/>
    <w:rsid w:val="7B5B57A7"/>
    <w:rsid w:val="7B5EAB79"/>
    <w:rsid w:val="7B6B6D60"/>
    <w:rsid w:val="7B83F84F"/>
    <w:rsid w:val="7B8DD2DD"/>
    <w:rsid w:val="7B92FC93"/>
    <w:rsid w:val="7B959F94"/>
    <w:rsid w:val="7BA42700"/>
    <w:rsid w:val="7BC25DC5"/>
    <w:rsid w:val="7BC3339F"/>
    <w:rsid w:val="7BD05106"/>
    <w:rsid w:val="7BDC785B"/>
    <w:rsid w:val="7BF06DA8"/>
    <w:rsid w:val="7C052E11"/>
    <w:rsid w:val="7C0AA7C9"/>
    <w:rsid w:val="7C0CBD1A"/>
    <w:rsid w:val="7C1C5020"/>
    <w:rsid w:val="7C377FD3"/>
    <w:rsid w:val="7C3E5054"/>
    <w:rsid w:val="7C440507"/>
    <w:rsid w:val="7C4B7CB7"/>
    <w:rsid w:val="7C4C5375"/>
    <w:rsid w:val="7C55EECF"/>
    <w:rsid w:val="7C6D2FCB"/>
    <w:rsid w:val="7C6F26F1"/>
    <w:rsid w:val="7C808CB6"/>
    <w:rsid w:val="7C92FD8D"/>
    <w:rsid w:val="7CA50D1F"/>
    <w:rsid w:val="7CA7CE7E"/>
    <w:rsid w:val="7CB262E4"/>
    <w:rsid w:val="7CBFA25B"/>
    <w:rsid w:val="7CD41DB3"/>
    <w:rsid w:val="7CDFE98D"/>
    <w:rsid w:val="7CE4975A"/>
    <w:rsid w:val="7CF53BB4"/>
    <w:rsid w:val="7D01C637"/>
    <w:rsid w:val="7D14B0E2"/>
    <w:rsid w:val="7D1C44E9"/>
    <w:rsid w:val="7D28036F"/>
    <w:rsid w:val="7D3330FE"/>
    <w:rsid w:val="7D551E3C"/>
    <w:rsid w:val="7D655CF4"/>
    <w:rsid w:val="7D76A8C7"/>
    <w:rsid w:val="7D784356"/>
    <w:rsid w:val="7D942B8F"/>
    <w:rsid w:val="7D947456"/>
    <w:rsid w:val="7DA6782A"/>
    <w:rsid w:val="7DCE1F7C"/>
    <w:rsid w:val="7DDA4082"/>
    <w:rsid w:val="7DF42C68"/>
    <w:rsid w:val="7DF6C187"/>
    <w:rsid w:val="7DF83145"/>
    <w:rsid w:val="7DFE8D6B"/>
    <w:rsid w:val="7E139F3F"/>
    <w:rsid w:val="7E1686D8"/>
    <w:rsid w:val="7E19AA83"/>
    <w:rsid w:val="7E19D814"/>
    <w:rsid w:val="7E45F4DA"/>
    <w:rsid w:val="7E4AC576"/>
    <w:rsid w:val="7E512F12"/>
    <w:rsid w:val="7E5E2909"/>
    <w:rsid w:val="7E6E459E"/>
    <w:rsid w:val="7E6FEE14"/>
    <w:rsid w:val="7E763229"/>
    <w:rsid w:val="7E78BC03"/>
    <w:rsid w:val="7E8000FC"/>
    <w:rsid w:val="7E811475"/>
    <w:rsid w:val="7E93886B"/>
    <w:rsid w:val="7E94ABDA"/>
    <w:rsid w:val="7E94C0A7"/>
    <w:rsid w:val="7E9C9101"/>
    <w:rsid w:val="7EAE8120"/>
    <w:rsid w:val="7EB07057"/>
    <w:rsid w:val="7ECB1415"/>
    <w:rsid w:val="7ED4C725"/>
    <w:rsid w:val="7ED6032C"/>
    <w:rsid w:val="7EE25D5B"/>
    <w:rsid w:val="7EF59AD2"/>
    <w:rsid w:val="7EFA4099"/>
    <w:rsid w:val="7EFC4A70"/>
    <w:rsid w:val="7F002007"/>
    <w:rsid w:val="7F236568"/>
    <w:rsid w:val="7F259958"/>
    <w:rsid w:val="7F3D8F12"/>
    <w:rsid w:val="7F4516F6"/>
    <w:rsid w:val="7F608CE8"/>
    <w:rsid w:val="7F659DB2"/>
    <w:rsid w:val="7F665EAF"/>
    <w:rsid w:val="7F689553"/>
    <w:rsid w:val="7F69EFDD"/>
    <w:rsid w:val="7F6D6CF2"/>
    <w:rsid w:val="7F862103"/>
    <w:rsid w:val="7F872E98"/>
    <w:rsid w:val="7F9412F3"/>
    <w:rsid w:val="7FBE3D69"/>
    <w:rsid w:val="7FC42029"/>
    <w:rsid w:val="7FCDB80C"/>
    <w:rsid w:val="7FD5BE6E"/>
    <w:rsid w:val="7FEE4485"/>
    <w:rsid w:val="7FFAB7D0"/>
    <w:rsid w:val="7FFB47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F85C95"/>
  <w15:chartTrackingRefBased/>
  <w15:docId w15:val="{B0178C51-0B8A-45F7-B5E6-373D71244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903C52"/>
    <w:pPr>
      <w:keepNext/>
      <w:keepLines/>
      <w:numPr>
        <w:numId w:val="8"/>
      </w:numPr>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03C52"/>
    <w:pPr>
      <w:keepNext/>
      <w:keepLines/>
      <w:numPr>
        <w:ilvl w:val="1"/>
        <w:numId w:val="8"/>
      </w:numPr>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903C52"/>
    <w:pPr>
      <w:keepNext/>
      <w:keepLines/>
      <w:numPr>
        <w:ilvl w:val="2"/>
        <w:numId w:val="8"/>
      </w:numPr>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03C52"/>
    <w:pPr>
      <w:keepNext/>
      <w:keepLines/>
      <w:numPr>
        <w:ilvl w:val="3"/>
        <w:numId w:val="8"/>
      </w:numPr>
      <w:spacing w:before="40" w:after="0"/>
      <w:outlineLvl w:val="3"/>
    </w:pPr>
    <w:rPr>
      <w:rFonts w:asciiTheme="majorHAnsi" w:hAnsiTheme="majorHAnsi"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03C52"/>
    <w:pPr>
      <w:keepNext/>
      <w:keepLines/>
      <w:numPr>
        <w:ilvl w:val="4"/>
        <w:numId w:val="8"/>
      </w:numPr>
      <w:spacing w:before="40" w:after="0"/>
      <w:outlineLvl w:val="4"/>
    </w:pPr>
    <w:rPr>
      <w:rFonts w:asciiTheme="majorHAnsi" w:hAnsiTheme="majorHAnsi"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03C52"/>
    <w:pPr>
      <w:keepNext/>
      <w:keepLines/>
      <w:numPr>
        <w:ilvl w:val="5"/>
        <w:numId w:val="8"/>
      </w:numPr>
      <w:spacing w:before="40" w:after="0"/>
      <w:outlineLvl w:val="5"/>
    </w:pPr>
    <w:rPr>
      <w:rFonts w:asciiTheme="majorHAnsi" w:hAnsiTheme="majorHAnsi" w:eastAsiaTheme="majorEastAsia" w:cstheme="majorBidi"/>
      <w:color w:val="1F3763" w:themeColor="accent1" w:themeShade="7F"/>
    </w:rPr>
  </w:style>
  <w:style w:type="paragraph" w:styleId="Heading7">
    <w:name w:val="heading 7"/>
    <w:basedOn w:val="Normal"/>
    <w:next w:val="Normal"/>
    <w:link w:val="Heading7Char"/>
    <w:uiPriority w:val="9"/>
    <w:semiHidden/>
    <w:unhideWhenUsed/>
    <w:qFormat/>
    <w:rsid w:val="00903C52"/>
    <w:pPr>
      <w:keepNext/>
      <w:keepLines/>
      <w:numPr>
        <w:ilvl w:val="6"/>
        <w:numId w:val="8"/>
      </w:numPr>
      <w:spacing w:before="40" w:after="0"/>
      <w:outlineLvl w:val="6"/>
    </w:pPr>
    <w:rPr>
      <w:rFonts w:asciiTheme="majorHAnsi" w:hAnsiTheme="majorHAnsi" w:eastAsiaTheme="majorEastAsia" w:cstheme="majorBidi"/>
      <w:i/>
      <w:iCs/>
      <w:color w:val="1F3763" w:themeColor="accent1" w:themeShade="7F"/>
    </w:rPr>
  </w:style>
  <w:style w:type="paragraph" w:styleId="Heading8">
    <w:name w:val="heading 8"/>
    <w:basedOn w:val="Normal"/>
    <w:next w:val="Normal"/>
    <w:link w:val="Heading8Char"/>
    <w:uiPriority w:val="9"/>
    <w:semiHidden/>
    <w:unhideWhenUsed/>
    <w:qFormat/>
    <w:rsid w:val="00903C52"/>
    <w:pPr>
      <w:keepNext/>
      <w:keepLines/>
      <w:numPr>
        <w:ilvl w:val="7"/>
        <w:numId w:val="8"/>
      </w:numPr>
      <w:spacing w:before="40" w:after="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03C52"/>
    <w:pPr>
      <w:keepNext/>
      <w:keepLines/>
      <w:numPr>
        <w:ilvl w:val="8"/>
        <w:numId w:val="8"/>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fontstyle01" w:customStyle="1">
    <w:name w:val="fontstyle01"/>
    <w:basedOn w:val="DefaultParagraphFont"/>
    <w:rsid w:val="00B64E8B"/>
    <w:rPr>
      <w:rFonts w:hint="default" w:ascii="ArialMT" w:hAnsi="ArialMT"/>
      <w:b w:val="0"/>
      <w:bCs w:val="0"/>
      <w:i w:val="0"/>
      <w:iCs w:val="0"/>
      <w:color w:val="000000"/>
      <w:sz w:val="24"/>
      <w:szCs w:val="24"/>
    </w:rPr>
  </w:style>
  <w:style w:type="paragraph" w:styleId="BalloonText">
    <w:name w:val="Balloon Text"/>
    <w:basedOn w:val="Normal"/>
    <w:link w:val="BalloonTextChar"/>
    <w:uiPriority w:val="99"/>
    <w:semiHidden/>
    <w:unhideWhenUsed/>
    <w:rsid w:val="00B86CE2"/>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B86CE2"/>
    <w:rPr>
      <w:rFonts w:ascii="Segoe UI" w:hAnsi="Segoe UI" w:cs="Segoe UI"/>
      <w:sz w:val="18"/>
      <w:szCs w:val="18"/>
    </w:rPr>
  </w:style>
  <w:style w:type="paragraph" w:styleId="ListParagraph">
    <w:name w:val="List Paragraph"/>
    <w:basedOn w:val="Normal"/>
    <w:uiPriority w:val="34"/>
    <w:qFormat/>
    <w:rsid w:val="00040419"/>
    <w:pPr>
      <w:ind w:left="720"/>
      <w:contextualSpacing/>
    </w:pPr>
  </w:style>
  <w:style w:type="character" w:styleId="CommentReference">
    <w:name w:val="annotation reference"/>
    <w:basedOn w:val="DefaultParagraphFont"/>
    <w:uiPriority w:val="99"/>
    <w:semiHidden/>
    <w:unhideWhenUsed/>
    <w:rsid w:val="00B54066"/>
    <w:rPr>
      <w:sz w:val="16"/>
      <w:szCs w:val="16"/>
    </w:rPr>
  </w:style>
  <w:style w:type="paragraph" w:styleId="CommentText">
    <w:name w:val="annotation text"/>
    <w:basedOn w:val="Normal"/>
    <w:link w:val="CommentTextChar"/>
    <w:uiPriority w:val="99"/>
    <w:semiHidden/>
    <w:unhideWhenUsed/>
    <w:rsid w:val="00B54066"/>
    <w:pPr>
      <w:spacing w:line="240" w:lineRule="auto"/>
    </w:pPr>
    <w:rPr>
      <w:sz w:val="20"/>
      <w:szCs w:val="20"/>
    </w:rPr>
  </w:style>
  <w:style w:type="character" w:styleId="CommentTextChar" w:customStyle="1">
    <w:name w:val="Comment Text Char"/>
    <w:basedOn w:val="DefaultParagraphFont"/>
    <w:link w:val="CommentText"/>
    <w:uiPriority w:val="99"/>
    <w:semiHidden/>
    <w:rsid w:val="00B54066"/>
    <w:rPr>
      <w:sz w:val="20"/>
      <w:szCs w:val="20"/>
    </w:rPr>
  </w:style>
  <w:style w:type="paragraph" w:styleId="CommentSubject">
    <w:name w:val="annotation subject"/>
    <w:basedOn w:val="CommentText"/>
    <w:next w:val="CommentText"/>
    <w:link w:val="CommentSubjectChar"/>
    <w:uiPriority w:val="99"/>
    <w:semiHidden/>
    <w:unhideWhenUsed/>
    <w:rsid w:val="00B54066"/>
    <w:rPr>
      <w:b/>
      <w:bCs/>
    </w:rPr>
  </w:style>
  <w:style w:type="character" w:styleId="CommentSubjectChar" w:customStyle="1">
    <w:name w:val="Comment Subject Char"/>
    <w:basedOn w:val="CommentTextChar"/>
    <w:link w:val="CommentSubject"/>
    <w:uiPriority w:val="99"/>
    <w:semiHidden/>
    <w:rsid w:val="00B54066"/>
    <w:rPr>
      <w:b/>
      <w:bCs/>
      <w:sz w:val="20"/>
      <w:szCs w:val="20"/>
    </w:rPr>
  </w:style>
  <w:style w:type="paragraph" w:styleId="Header">
    <w:name w:val="header"/>
    <w:basedOn w:val="Normal"/>
    <w:link w:val="HeaderChar"/>
    <w:uiPriority w:val="99"/>
    <w:unhideWhenUsed/>
    <w:rsid w:val="001E6B0F"/>
    <w:pPr>
      <w:tabs>
        <w:tab w:val="center" w:pos="4680"/>
        <w:tab w:val="right" w:pos="9360"/>
      </w:tabs>
      <w:spacing w:after="0" w:line="240" w:lineRule="auto"/>
    </w:pPr>
  </w:style>
  <w:style w:type="character" w:styleId="HeaderChar" w:customStyle="1">
    <w:name w:val="Header Char"/>
    <w:basedOn w:val="DefaultParagraphFont"/>
    <w:link w:val="Header"/>
    <w:uiPriority w:val="99"/>
    <w:rsid w:val="001E6B0F"/>
  </w:style>
  <w:style w:type="paragraph" w:styleId="Footer">
    <w:name w:val="footer"/>
    <w:basedOn w:val="Normal"/>
    <w:link w:val="FooterChar"/>
    <w:uiPriority w:val="99"/>
    <w:unhideWhenUsed/>
    <w:rsid w:val="001E6B0F"/>
    <w:pPr>
      <w:tabs>
        <w:tab w:val="center" w:pos="4680"/>
        <w:tab w:val="right" w:pos="9360"/>
      </w:tabs>
      <w:spacing w:after="0" w:line="240" w:lineRule="auto"/>
    </w:pPr>
  </w:style>
  <w:style w:type="character" w:styleId="FooterChar" w:customStyle="1">
    <w:name w:val="Footer Char"/>
    <w:basedOn w:val="DefaultParagraphFont"/>
    <w:link w:val="Footer"/>
    <w:uiPriority w:val="99"/>
    <w:rsid w:val="001E6B0F"/>
  </w:style>
  <w:style w:type="paragraph" w:styleId="FootnoteText">
    <w:name w:val="footnote text"/>
    <w:basedOn w:val="Normal"/>
    <w:link w:val="FootnoteTextChar"/>
    <w:uiPriority w:val="99"/>
    <w:semiHidden/>
    <w:unhideWhenUsed/>
    <w:rsid w:val="009C1D92"/>
    <w:pPr>
      <w:spacing w:after="0" w:line="240" w:lineRule="auto"/>
    </w:pPr>
    <w:rPr>
      <w:rFonts w:ascii="Arial" w:hAnsi="Arial" w:eastAsia="Calibri" w:cs="Times New Roman"/>
      <w:sz w:val="20"/>
      <w:szCs w:val="20"/>
    </w:rPr>
  </w:style>
  <w:style w:type="character" w:styleId="FootnoteTextChar" w:customStyle="1">
    <w:name w:val="Footnote Text Char"/>
    <w:basedOn w:val="DefaultParagraphFont"/>
    <w:link w:val="FootnoteText"/>
    <w:uiPriority w:val="99"/>
    <w:semiHidden/>
    <w:rsid w:val="009C1D92"/>
    <w:rPr>
      <w:rFonts w:ascii="Arial" w:hAnsi="Arial" w:eastAsia="Calibri" w:cs="Times New Roman"/>
      <w:sz w:val="20"/>
      <w:szCs w:val="20"/>
    </w:rPr>
  </w:style>
  <w:style w:type="character" w:styleId="FootnoteReference">
    <w:name w:val="footnote reference"/>
    <w:qFormat/>
    <w:rsid w:val="009C1D92"/>
    <w:rPr>
      <w:rFonts w:ascii="Arial" w:hAnsi="Arial"/>
      <w:position w:val="6"/>
      <w:sz w:val="16"/>
    </w:rPr>
  </w:style>
  <w:style w:type="character" w:styleId="Heading1Char" w:customStyle="1">
    <w:name w:val="Heading 1 Char"/>
    <w:basedOn w:val="DefaultParagraphFont"/>
    <w:link w:val="Heading1"/>
    <w:uiPriority w:val="9"/>
    <w:rsid w:val="00903C52"/>
    <w:rPr>
      <w:rFonts w:asciiTheme="majorHAnsi" w:hAnsiTheme="majorHAnsi" w:eastAsiaTheme="majorEastAsia" w:cstheme="majorBidi"/>
      <w:color w:val="2F5496" w:themeColor="accent1" w:themeShade="BF"/>
      <w:sz w:val="32"/>
      <w:szCs w:val="32"/>
    </w:rPr>
  </w:style>
  <w:style w:type="character" w:styleId="Heading2Char" w:customStyle="1">
    <w:name w:val="Heading 2 Char"/>
    <w:basedOn w:val="DefaultParagraphFont"/>
    <w:link w:val="Heading2"/>
    <w:uiPriority w:val="9"/>
    <w:rsid w:val="00903C52"/>
    <w:rPr>
      <w:rFonts w:asciiTheme="majorHAnsi" w:hAnsiTheme="majorHAnsi" w:eastAsiaTheme="majorEastAsia" w:cstheme="majorBidi"/>
      <w:color w:val="2F5496" w:themeColor="accent1" w:themeShade="BF"/>
      <w:sz w:val="26"/>
      <w:szCs w:val="26"/>
    </w:rPr>
  </w:style>
  <w:style w:type="character" w:styleId="Heading3Char" w:customStyle="1">
    <w:name w:val="Heading 3 Char"/>
    <w:basedOn w:val="DefaultParagraphFont"/>
    <w:link w:val="Heading3"/>
    <w:uiPriority w:val="9"/>
    <w:semiHidden/>
    <w:rsid w:val="00903C52"/>
    <w:rPr>
      <w:rFonts w:asciiTheme="majorHAnsi" w:hAnsiTheme="majorHAnsi" w:eastAsiaTheme="majorEastAsia" w:cstheme="majorBidi"/>
      <w:color w:val="1F3763" w:themeColor="accent1" w:themeShade="7F"/>
      <w:sz w:val="24"/>
      <w:szCs w:val="24"/>
    </w:rPr>
  </w:style>
  <w:style w:type="character" w:styleId="Heading4Char" w:customStyle="1">
    <w:name w:val="Heading 4 Char"/>
    <w:basedOn w:val="DefaultParagraphFont"/>
    <w:link w:val="Heading4"/>
    <w:uiPriority w:val="9"/>
    <w:semiHidden/>
    <w:rsid w:val="00903C52"/>
    <w:rPr>
      <w:rFonts w:asciiTheme="majorHAnsi" w:hAnsiTheme="majorHAnsi" w:eastAsiaTheme="majorEastAsia" w:cstheme="majorBidi"/>
      <w:i/>
      <w:iCs/>
      <w:color w:val="2F5496" w:themeColor="accent1" w:themeShade="BF"/>
    </w:rPr>
  </w:style>
  <w:style w:type="character" w:styleId="Heading5Char" w:customStyle="1">
    <w:name w:val="Heading 5 Char"/>
    <w:basedOn w:val="DefaultParagraphFont"/>
    <w:link w:val="Heading5"/>
    <w:uiPriority w:val="9"/>
    <w:semiHidden/>
    <w:rsid w:val="00903C52"/>
    <w:rPr>
      <w:rFonts w:asciiTheme="majorHAnsi" w:hAnsiTheme="majorHAnsi" w:eastAsiaTheme="majorEastAsia" w:cstheme="majorBidi"/>
      <w:color w:val="2F5496" w:themeColor="accent1" w:themeShade="BF"/>
    </w:rPr>
  </w:style>
  <w:style w:type="character" w:styleId="Heading6Char" w:customStyle="1">
    <w:name w:val="Heading 6 Char"/>
    <w:basedOn w:val="DefaultParagraphFont"/>
    <w:link w:val="Heading6"/>
    <w:uiPriority w:val="9"/>
    <w:semiHidden/>
    <w:rsid w:val="00903C52"/>
    <w:rPr>
      <w:rFonts w:asciiTheme="majorHAnsi" w:hAnsiTheme="majorHAnsi" w:eastAsiaTheme="majorEastAsia" w:cstheme="majorBidi"/>
      <w:color w:val="1F3763" w:themeColor="accent1" w:themeShade="7F"/>
    </w:rPr>
  </w:style>
  <w:style w:type="character" w:styleId="Heading7Char" w:customStyle="1">
    <w:name w:val="Heading 7 Char"/>
    <w:basedOn w:val="DefaultParagraphFont"/>
    <w:link w:val="Heading7"/>
    <w:uiPriority w:val="9"/>
    <w:semiHidden/>
    <w:rsid w:val="00903C52"/>
    <w:rPr>
      <w:rFonts w:asciiTheme="majorHAnsi" w:hAnsiTheme="majorHAnsi" w:eastAsiaTheme="majorEastAsia" w:cstheme="majorBidi"/>
      <w:i/>
      <w:iCs/>
      <w:color w:val="1F3763" w:themeColor="accent1" w:themeShade="7F"/>
    </w:rPr>
  </w:style>
  <w:style w:type="character" w:styleId="Heading8Char" w:customStyle="1">
    <w:name w:val="Heading 8 Char"/>
    <w:basedOn w:val="DefaultParagraphFont"/>
    <w:link w:val="Heading8"/>
    <w:uiPriority w:val="9"/>
    <w:semiHidden/>
    <w:rsid w:val="00903C52"/>
    <w:rPr>
      <w:rFonts w:asciiTheme="majorHAnsi" w:hAnsiTheme="majorHAnsi" w:eastAsiaTheme="majorEastAsia" w:cstheme="majorBidi"/>
      <w:color w:val="272727" w:themeColor="text1" w:themeTint="D8"/>
      <w:sz w:val="21"/>
      <w:szCs w:val="21"/>
    </w:rPr>
  </w:style>
  <w:style w:type="character" w:styleId="Heading9Char" w:customStyle="1">
    <w:name w:val="Heading 9 Char"/>
    <w:basedOn w:val="DefaultParagraphFont"/>
    <w:link w:val="Heading9"/>
    <w:uiPriority w:val="9"/>
    <w:semiHidden/>
    <w:rsid w:val="00903C52"/>
    <w:rPr>
      <w:rFonts w:asciiTheme="majorHAnsi" w:hAnsiTheme="majorHAnsi" w:eastAsiaTheme="majorEastAsia" w:cstheme="majorBidi"/>
      <w:i/>
      <w:iCs/>
      <w:color w:val="272727" w:themeColor="text1" w:themeTint="D8"/>
      <w:sz w:val="21"/>
      <w:szCs w:val="21"/>
    </w:rPr>
  </w:style>
  <w:style w:type="character" w:styleId="Hyperlink">
    <w:name w:val="Hyperlink"/>
    <w:basedOn w:val="DefaultParagraphFont"/>
    <w:uiPriority w:val="99"/>
    <w:unhideWhenUsed/>
    <w:rsid w:val="009920DB"/>
    <w:rPr>
      <w:color w:val="0563C1" w:themeColor="hyperlink"/>
      <w:u w:val="single"/>
    </w:rPr>
  </w:style>
  <w:style w:type="character" w:styleId="fontstyle21" w:customStyle="1">
    <w:name w:val="fontstyle21"/>
    <w:basedOn w:val="DefaultParagraphFont"/>
    <w:rsid w:val="00494185"/>
    <w:rPr>
      <w:rFonts w:hint="default" w:ascii="TimesNewRomanPSMT" w:hAnsi="TimesNewRomanPSMT"/>
      <w:b w:val="0"/>
      <w:bCs w:val="0"/>
      <w:i w:val="0"/>
      <w:iCs w:val="0"/>
      <w:color w:val="000000"/>
      <w:sz w:val="24"/>
      <w:szCs w:val="24"/>
    </w:rPr>
  </w:style>
  <w:style w:type="paragraph" w:styleId="Revision">
    <w:name w:val="Revision"/>
    <w:hidden/>
    <w:uiPriority w:val="99"/>
    <w:semiHidden/>
    <w:rsid w:val="00512483"/>
    <w:pPr>
      <w:spacing w:after="0" w:line="240" w:lineRule="auto"/>
    </w:pPr>
  </w:style>
  <w:style w:type="character" w:styleId="FollowedHyperlink">
    <w:name w:val="FollowedHyperlink"/>
    <w:basedOn w:val="DefaultParagraphFont"/>
    <w:uiPriority w:val="99"/>
    <w:semiHidden/>
    <w:unhideWhenUsed/>
    <w:rsid w:val="00EF5B09"/>
    <w:rPr>
      <w:color w:val="954F72" w:themeColor="followedHyperlink"/>
      <w:u w:val="single"/>
    </w:rPr>
  </w:style>
  <w:style w:type="character" w:styleId="UnresolvedMention1" w:customStyle="1">
    <w:name w:val="Unresolved Mention1"/>
    <w:basedOn w:val="DefaultParagraphFont"/>
    <w:uiPriority w:val="99"/>
    <w:semiHidden/>
    <w:unhideWhenUsed/>
    <w:rsid w:val="009703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0620110">
      <w:bodyDiv w:val="1"/>
      <w:marLeft w:val="0"/>
      <w:marRight w:val="0"/>
      <w:marTop w:val="0"/>
      <w:marBottom w:val="0"/>
      <w:divBdr>
        <w:top w:val="none" w:sz="0" w:space="0" w:color="auto"/>
        <w:left w:val="none" w:sz="0" w:space="0" w:color="auto"/>
        <w:bottom w:val="none" w:sz="0" w:space="0" w:color="auto"/>
        <w:right w:val="none" w:sz="0" w:space="0" w:color="auto"/>
      </w:divBdr>
    </w:div>
    <w:div w:id="392194887">
      <w:bodyDiv w:val="1"/>
      <w:marLeft w:val="0"/>
      <w:marRight w:val="0"/>
      <w:marTop w:val="0"/>
      <w:marBottom w:val="0"/>
      <w:divBdr>
        <w:top w:val="none" w:sz="0" w:space="0" w:color="auto"/>
        <w:left w:val="none" w:sz="0" w:space="0" w:color="auto"/>
        <w:bottom w:val="none" w:sz="0" w:space="0" w:color="auto"/>
        <w:right w:val="none" w:sz="0" w:space="0" w:color="auto"/>
      </w:divBdr>
    </w:div>
    <w:div w:id="106059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www.dpuc.state.ct.us/dockcurr.nsf/0/98b91b64d734d3368525848700598fe1/$FILE/171203-100219%20InterimDecision.pdf"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image" Target="media/image1.jpeg"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image" Target="media/image2.emf" Id="rId14" /><Relationship Type="http://schemas.openxmlformats.org/officeDocument/2006/relationships/glossaryDocument" Target="/word/glossary/document.xml" Id="R811d2ea1d8124fed" /></Relationships>
</file>

<file path=word/_rels/footnotes.xml.rels><?xml version="1.0" encoding="UTF-8" standalone="yes"?>
<Relationships xmlns="http://schemas.openxmlformats.org/package/2006/relationships"><Relationship Id="rId8" Type="http://schemas.openxmlformats.org/officeDocument/2006/relationships/hyperlink" Target="https://sepapower.org/resource/non-wires-alternatives-case-studies-from-leading-u-s-projects/" TargetMode="External"/><Relationship Id="rId3" Type="http://schemas.openxmlformats.org/officeDocument/2006/relationships/hyperlink" Target="https://sepapower.org/resource/non-wires-alternatives-case-studies-from-leading-u-s-projects/" TargetMode="External"/><Relationship Id="rId7" Type="http://schemas.openxmlformats.org/officeDocument/2006/relationships/hyperlink" Target="https://www.youtube.com/watch?v=cjSRvaP7Ucg" TargetMode="External"/><Relationship Id="rId2" Type="http://schemas.openxmlformats.org/officeDocument/2006/relationships/hyperlink" Target="https://neep.org/sites/default/files/resources/FINAL_Boothbay%20Pilot%20Report_20160119.pdf" TargetMode="External"/><Relationship Id="rId1" Type="http://schemas.openxmlformats.org/officeDocument/2006/relationships/hyperlink" Target="https://www.coned.com/en/business-partners/business-opportunities/brooklyn-queens-demand-management-demand-response-program" TargetMode="External"/><Relationship Id="rId6" Type="http://schemas.openxmlformats.org/officeDocument/2006/relationships/hyperlink" Target="https://neep.org/sites/default/files/resources/NWA%20brief%20final%20draft%20-%20CT%20FORMAT.pdf" TargetMode="External"/><Relationship Id="rId5" Type="http://schemas.openxmlformats.org/officeDocument/2006/relationships/hyperlink" Target="https://sepapower.org/resource/non-wires-alternatives-case-studies-from-leading-u-s-projects/" TargetMode="External"/><Relationship Id="rId10" Type="http://schemas.openxmlformats.org/officeDocument/2006/relationships/hyperlink" Target="https://www.vermontspc.com/" TargetMode="External"/><Relationship Id="rId4" Type="http://schemas.openxmlformats.org/officeDocument/2006/relationships/hyperlink" Target="https://greenmountainpower.com/rebates-programs/home-energy-storage/bring-your-own-device/" TargetMode="External"/><Relationship Id="rId9" Type="http://schemas.openxmlformats.org/officeDocument/2006/relationships/hyperlink" Target="https://neep.org/sites/default/files/resources/NWA%20brief%20final%20draft%20-%20CT%20FORMAT.pdf"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05e0c6ea-9812-4f99-83b9-f74bbcfad8f7}"/>
      </w:docPartPr>
      <w:docPartBody>
        <w:p w14:paraId="33646BBC">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913CE45E292046A464B69E3CEA5884" ma:contentTypeVersion="12" ma:contentTypeDescription="Create a new document." ma:contentTypeScope="" ma:versionID="e3b6cfa237bc1d0013d013b93eacccee">
  <xsd:schema xmlns:xsd="http://www.w3.org/2001/XMLSchema" xmlns:xs="http://www.w3.org/2001/XMLSchema" xmlns:p="http://schemas.microsoft.com/office/2006/metadata/properties" xmlns:ns2="5dfa2bcd-8452-4671-aa32-dd94c2233548" xmlns:ns3="92309ddc-3b1e-489e-97ba-af20c2443f26" targetNamespace="http://schemas.microsoft.com/office/2006/metadata/properties" ma:root="true" ma:fieldsID="bbe348b45f03a052bc1a73507ad00d22" ns2:_="" ns3:_="">
    <xsd:import namespace="5dfa2bcd-8452-4671-aa32-dd94c2233548"/>
    <xsd:import namespace="92309ddc-3b1e-489e-97ba-af20c2443f26"/>
    <xsd:element name="properties">
      <xsd:complexType>
        <xsd:sequence>
          <xsd:element name="documentManagement">
            <xsd:complexType>
              <xsd:all>
                <xsd:element ref="ns2:DocketNo_x002e_"/>
                <xsd:element ref="ns2:DocumentType"/>
                <xsd:element ref="ns2:DraftorFinal"/>
                <xsd:element ref="ns2:Sector"/>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fa2bcd-8452-4671-aa32-dd94c2233548" elementFormDefault="qualified">
    <xsd:import namespace="http://schemas.microsoft.com/office/2006/documentManagement/types"/>
    <xsd:import namespace="http://schemas.microsoft.com/office/infopath/2007/PartnerControls"/>
    <xsd:element name="DocketNo_x002e_" ma:index="2" ma:displayName="Docket No." ma:description="Insert Docket No. using ##-##-## format" ma:format="Dropdown" ma:internalName="DocketNo_x002e_">
      <xsd:simpleType>
        <xsd:restriction base="dms:Text">
          <xsd:maxLength value="255"/>
        </xsd:restriction>
      </xsd:simpleType>
    </xsd:element>
    <xsd:element name="DocumentType" ma:index="3" ma:displayName="Document Type" ma:format="Dropdown" ma:internalName="DocumentType">
      <xsd:simpleType>
        <xsd:restriction base="dms:Choice">
          <xsd:enumeration value="Decision"/>
          <xsd:enumeration value="Discovery"/>
          <xsd:enumeration value="Notice"/>
          <xsd:enumeration value="Other"/>
          <xsd:enumeration value="Motions"/>
        </xsd:restriction>
      </xsd:simpleType>
    </xsd:element>
    <xsd:element name="DraftorFinal" ma:index="4" ma:displayName="Status" ma:default="Draft" ma:format="Dropdown" ma:internalName="DraftorFinal">
      <xsd:simpleType>
        <xsd:restriction base="dms:Choice">
          <xsd:enumeration value="Draft"/>
          <xsd:enumeration value="Final"/>
        </xsd:restriction>
      </xsd:simpleType>
    </xsd:element>
    <xsd:element name="Sector" ma:index="5" ma:displayName="Sector" ma:format="Dropdown" ma:internalName="Sector">
      <xsd:simpleType>
        <xsd:restriction base="dms:Choice">
          <xsd:enumeration value="Electric"/>
          <xsd:enumeration value="Gas"/>
          <xsd:enumeration value="Water"/>
          <xsd:enumeration value="Communications"/>
          <xsd:enumeration value="Supplier"/>
          <xsd:enumeration value="General"/>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309ddc-3b1e-489e-97ba-af20c2443f2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p r o p e r t i e s   x m l n s = " h t t p : / / w w w . i m a n a g e . c o m / w o r k / x m l s c h e m a " >  
     < d o c u m e n t i d > W O R K S I T E _ A C T I V E ! 1 3 9 6 9 0 6 2 . 1 < / d o c u m e n t i d >  
     < s e n d e r i d > D L I T T E L L < / s e n d e r i d >  
     < s e n d e r e m a i l > D L I T T E L L @ B E R N S T E I N S H U R . C O M < / s e n d e r e m a i l >  
     < l a s t m o d i f i e d > 2 0 2 1 - 0 2 - 1 0 T 1 7 : 3 7 : 0 0 . 0 0 0 0 0 0 0 - 0 5 : 0 0 < / l a s t m o d i f i e d >  
     < d a t a b a s e > W O R K S I T E _ A C T I V E < / d a t a b a s e >  
 < / 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92309ddc-3b1e-489e-97ba-af20c2443f26">
      <UserInfo>
        <DisplayName>SharingLinks.15694fe4-fd19-4199-8c33-c2ad0e870ee2.Flexible.dc550687-932d-41fa-ad30-db0e04b00c83</DisplayName>
        <AccountId>971</AccountId>
        <AccountType/>
      </UserInfo>
      <UserInfo>
        <DisplayName>Levesque, Larry</DisplayName>
        <AccountId>43</AccountId>
        <AccountType/>
      </UserInfo>
      <UserInfo>
        <DisplayName>Reilly, James</DisplayName>
        <AccountId>677</AccountId>
        <AccountType/>
      </UserInfo>
    </SharedWithUsers>
    <DocketNo_x002e_ xmlns="5dfa2bcd-8452-4671-aa32-dd94c2233548">17-12-03RE07</DocketNo_x002e_>
    <DraftorFinal xmlns="5dfa2bcd-8452-4671-aa32-dd94c2233548">Draft</DraftorFinal>
    <Sector xmlns="5dfa2bcd-8452-4671-aa32-dd94c2233548">Electric</Sector>
    <DocumentType xmlns="5dfa2bcd-8452-4671-aa32-dd94c2233548">Other</DocumentTyp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2BE6E5-C82D-491E-8DAF-09C400DF1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fa2bcd-8452-4671-aa32-dd94c2233548"/>
    <ds:schemaRef ds:uri="92309ddc-3b1e-489e-97ba-af20c2443f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8A9180-FB94-49F6-851D-B5C7D0AB0432}">
  <ds:schemaRefs>
    <ds:schemaRef ds:uri="http://www.imanage.com/work/xmlschema"/>
  </ds:schemaRefs>
</ds:datastoreItem>
</file>

<file path=customXml/itemProps3.xml><?xml version="1.0" encoding="utf-8"?>
<ds:datastoreItem xmlns:ds="http://schemas.openxmlformats.org/officeDocument/2006/customXml" ds:itemID="{330C9D74-9C82-49FC-8A8A-73A10E18BFB4}">
  <ds:schemaRefs>
    <ds:schemaRef ds:uri="http://schemas.openxmlformats.org/officeDocument/2006/bibliography"/>
  </ds:schemaRefs>
</ds:datastoreItem>
</file>

<file path=customXml/itemProps4.xml><?xml version="1.0" encoding="utf-8"?>
<ds:datastoreItem xmlns:ds="http://schemas.openxmlformats.org/officeDocument/2006/customXml" ds:itemID="{07C9F21F-85A5-449C-AD60-3770336DA4C9}">
  <ds:schemaRefs>
    <ds:schemaRef ds:uri="http://schemas.microsoft.com/office/2006/metadata/properties"/>
    <ds:schemaRef ds:uri="http://schemas.microsoft.com/office/infopath/2007/PartnerControls"/>
    <ds:schemaRef ds:uri="92309ddc-3b1e-489e-97ba-af20c2443f26"/>
    <ds:schemaRef ds:uri="5dfa2bcd-8452-4671-aa32-dd94c2233548"/>
  </ds:schemaRefs>
</ds:datastoreItem>
</file>

<file path=customXml/itemProps5.xml><?xml version="1.0" encoding="utf-8"?>
<ds:datastoreItem xmlns:ds="http://schemas.openxmlformats.org/officeDocument/2006/customXml" ds:itemID="{82170B0C-99C6-4577-99D7-7F98C5C8638F}">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RyorJ</dc:creator>
  <keywords/>
  <dc:description/>
  <lastModifiedBy>Fehrenbacher, Christian</lastModifiedBy>
  <revision>250</revision>
  <dcterms:created xsi:type="dcterms:W3CDTF">2021-07-23T21:30:00.0000000Z</dcterms:created>
  <dcterms:modified xsi:type="dcterms:W3CDTF">2021-07-30T16:14:52.7541644Z</dcterms:modified>
  <category/>
  <contentStatus/>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0x010100E7913CE45E292046A464B69E3CEA5884</vt:lpwstr>
  </property>
</Properties>
</file>